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9D7D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outlineLvl w:val="0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  <w:lang w:val="en-US" w:eastAsia="zh-CN"/>
        </w:rPr>
        <w:t>民事起诉状</w:t>
      </w:r>
    </w:p>
    <w:p w14:paraId="3F8D7AB7">
      <w:pPr>
        <w:keepNext w:val="0"/>
        <w:keepLines w:val="0"/>
        <w:widowControl/>
        <w:suppressLineNumbers w:val="0"/>
        <w:jc w:val="center"/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（买卖合同纠纷）</w:t>
      </w:r>
    </w:p>
    <w:tbl>
      <w:tblPr>
        <w:tblStyle w:val="7"/>
        <w:tblW w:w="96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06"/>
        <w:gridCol w:w="7332"/>
      </w:tblGrid>
      <w:tr w14:paraId="74F66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top"/>
          </w:tcPr>
          <w:p w14:paraId="6A99323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imHei" w:hAnsi="SimHei" w:eastAsia="SimHei" w:cs="SimHei"/>
                <w:color w:val="231F20"/>
                <w:kern w:val="0"/>
                <w:sz w:val="21"/>
                <w:szCs w:val="21"/>
                <w:lang w:val="en-US" w:eastAsia="zh-CN" w:bidi="ar"/>
              </w:rPr>
              <w:t>说明：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0E11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75F81D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1EAC6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本表所列内容是您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>参加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诉讼以及人民法院查明案件事实所需，请务必如实填写。 </w:t>
            </w:r>
          </w:p>
          <w:p w14:paraId="20CC7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40A6B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相关栏目可复制粘贴或扩容，但不得改变要素内容、格式设置。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例如，多原告、多被告或多委托诉讼代理人等情况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可根据实际情况复制粘贴；需填写文字较多时，可根据实际对栏目进行扩容等。</w:t>
            </w:r>
          </w:p>
          <w:p w14:paraId="2C3AB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1603AC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04E14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31CD9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38" w:type="dxa"/>
            <w:gridSpan w:val="2"/>
            <w:vAlign w:val="center"/>
          </w:tcPr>
          <w:p w14:paraId="29E2A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SimHei" w:hAnsi="SimHei" w:eastAsia="SimHei" w:cs="SimHei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当事人信息</w:t>
            </w:r>
          </w:p>
        </w:tc>
      </w:tr>
      <w:tr w14:paraId="0832A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49AD0E9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原告</w:t>
            </w:r>
          </w:p>
          <w:p w14:paraId="3F3D9EA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332" w:type="dxa"/>
          </w:tcPr>
          <w:p w14:paraId="45B0D37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D10684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BBFBBE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       民族：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0ADF2B6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261F5AD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F630E0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578EAB3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</w:p>
          <mc:AlternateContent>
            <mc:Choice Requires="wpsCustomData"/>
          </mc:AlternateContent>
          <w:p w14:paraId="7090E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6CB9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3E62575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原告</w:t>
            </w:r>
          </w:p>
          <w:p w14:paraId="0200680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（法人、非法人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eastAsia="zh-CN"/>
              </w:rPr>
              <w:t>组织）</w:t>
            </w:r>
          </w:p>
        </w:tc>
        <w:tc>
          <w:tcPr>
            <w:tcW w:w="7332" w:type="dxa"/>
            <w:vAlign w:val="top"/>
          </w:tcPr>
          <w:p w14:paraId="5CCD48D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32E3931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>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ECCB2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88C5A8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C6057E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6640DA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E41B3A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w:p w14:paraId="333419C9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332ECA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BFEF65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</w:p>
          <w:p w14:paraId="6EE24D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</w:p>
        </w:tc>
      </w:tr>
      <mc:AlternateContent>
        <mc:Choice Requires="wpsCustomData"/>
      </mc:AlternateContent>
      <w:tr w14:paraId="39D35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50920B8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委托诉讼代理人</w:t>
            </w:r>
          </w:p>
        </w:tc>
        <w:tc>
          <w:tcPr>
            <w:tcW w:w="7332" w:type="dxa"/>
            <w:vAlign w:val="top"/>
          </w:tcPr>
          <w:p w14:paraId="40D6B7A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641711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957640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6120B7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eastAsia="zh"/>
                <w:woUserID w:val="1"/>
              </w:rPr>
              <w:t xml:space="preserve">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eastAsia="zh"/>
                <w:woUserID w:val="1"/>
              </w:rPr>
              <w:t xml:space="preserve">  </w:t>
            </w:r>
          </w:p>
          <w:p w14:paraId="4720362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2ABF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1361F1A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433121B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332" w:type="dxa"/>
            <w:vAlign w:val="top"/>
          </w:tcPr>
          <w:p w14:paraId="347646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043CDD4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893CB1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502"/>
                <w:tab w:val="left" w:pos="3132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5D1CC8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    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657B90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3412FA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29D431B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7BF255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A0A1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0AE1386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bookmarkStart w:id="0" w:name="_GoBack"/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7B05138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332" w:type="dxa"/>
            <w:vAlign w:val="top"/>
          </w:tcPr>
          <w:p w14:paraId="17FF646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847A66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eastAsia="zh-CN"/>
              </w:rPr>
              <w:t>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D0A053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1C5B0308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5B78321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F917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7D082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00AC6D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65424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D06C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093F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w:bookmarkEnd w:id="0"/>
      <mc:AlternateContent>
        <mc:Choice Requires="wpsCustomData"/>
      </mc:AlternateContent>
      <w:tr w14:paraId="3DF89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4E6C0FB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第三人</w:t>
            </w:r>
          </w:p>
          <w:p w14:paraId="4443CF9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332" w:type="dxa"/>
            <w:vAlign w:val="top"/>
          </w:tcPr>
          <w:p w14:paraId="215CFC6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266BD5D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CEFA54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918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01002FF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 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43A7B251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918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1A6476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011745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5292AE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6E87E5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3ABEDA3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第三人</w:t>
            </w:r>
          </w:p>
          <w:p w14:paraId="270FC08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332" w:type="dxa"/>
            <w:vAlign w:val="top"/>
          </w:tcPr>
          <w:p w14:paraId="1C6892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  </w:t>
            </w:r>
          </w:p>
          <mc:AlternateContent>
            <mc:Choice Requires="wpsCustomData"/>
          </mc:AlternateContent>
          <w:p w14:paraId="530E6A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住所地（主要办事机构所在地）：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EEBA8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D98B3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  </w:t>
            </w:r>
          </w:p>
          <mc:AlternateContent>
            <mc:Choice Requires="wpsCustomData"/>
          </mc:AlternateContent>
          <w:p w14:paraId="1CF510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39FA82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6E43A34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5622072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332" w:type="dxa"/>
            <w:vAlign w:val="top"/>
          </w:tcPr>
          <w:p w14:paraId="2788CCF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B2EA687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w:p w14:paraId="74833FF1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8AF110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A7C824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w:p w14:paraId="4C48D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ab/>
            </w:r>
          </w:p>
        </w:tc>
      </w:tr>
      <w:tr w14:paraId="5E854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6F69C6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  <w:p w14:paraId="589195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21"/>
                <w:szCs w:val="21"/>
              </w:rPr>
              <w:t>（原告为卖方时，填写第1项、第2项；原告为买方时，填写第3项、第4项；</w:t>
            </w:r>
          </w:p>
          <w:p w14:paraId="2552D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21"/>
                <w:szCs w:val="21"/>
              </w:rPr>
              <w:t>第5项至第10项为共同项）</w:t>
            </w:r>
          </w:p>
        </w:tc>
      </w:tr>
      <w:tr w14:paraId="5C932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37" w:hRule="atLeast"/>
        </w:trPr>
        <w:tc>
          <w:tcPr>
            <w:tcW w:w="9638" w:type="dxa"/>
            <w:gridSpan w:val="2"/>
            <w:vAlign w:val="top"/>
          </w:tcPr>
          <w:p w14:paraId="5D768B7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1C3E98D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</w:p>
          <w:p w14:paraId="2C96E8B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</w:p>
          <w:p w14:paraId="29260E0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楷体" w:hAnsi="楷体" w:eastAsia="楷体" w:cs="楷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A522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0D202CD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给付价款（元）</w:t>
            </w:r>
          </w:p>
        </w:tc>
        <w:tc>
          <w:tcPr>
            <w:tcW w:w="7332" w:type="dxa"/>
            <w:vAlign w:val="top"/>
          </w:tcPr>
          <w:p w14:paraId="61251D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0" w:lef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eastAsia="zh"/>
                <w:woUserID w:val="1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元（人民币，下同；如外币需特别注明）</w:t>
            </w:r>
          </w:p>
        </w:tc>
      </w:tr>
      <w:tr w14:paraId="0BEB8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7E7E05E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迟延给付价款的利息（违约金）</w:t>
            </w:r>
          </w:p>
        </w:tc>
        <w:tc>
          <w:tcPr>
            <w:tcW w:w="7332" w:type="dxa"/>
            <w:vAlign w:val="top"/>
          </w:tcPr>
          <w:p w14:paraId="43A01F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截至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止，迟延给付价款的利息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元、违约金</w:t>
            </w:r>
            <mc:AlternateContent>
              <mc:Choice Requires="wpsCustomData"/>
            </mc:AlternateContent>
          </w:p>
          <w:p w14:paraId="62EE74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元，自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之后的逾期利息、违约金，以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元为基数</w:t>
            </w:r>
          </w:p>
          <w:p w14:paraId="2BB5E2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按照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标准计算；</w:t>
            </w:r>
          </w:p>
          <w:p w14:paraId="1BA9CA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计算方式：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B42D7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是否请求支付至实际清偿之日止：是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6594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5F360BB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赔偿因卖方违约所受的损失</w:t>
            </w:r>
          </w:p>
        </w:tc>
        <w:tc>
          <w:tcPr>
            <w:tcW w:w="7332" w:type="dxa"/>
            <w:vAlign w:val="top"/>
          </w:tcPr>
          <w:p w14:paraId="3E4A03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支付赔偿金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</w:t>
            </w:r>
          </w:p>
          <w:p w14:paraId="501940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违约类型：迟延履行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不履行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44EA2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具体情形：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663C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损失计算依据：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5EC4C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45A1C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是否对标的物的瑕疵承担责任</w:t>
            </w:r>
          </w:p>
        </w:tc>
        <w:tc>
          <w:tcPr>
            <w:tcW w:w="7332" w:type="dxa"/>
            <w:vAlign w:val="top"/>
          </w:tcPr>
          <w:p w14:paraId="63BBA2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修理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重作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更换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退货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减少价款或者报酬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24F3E7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</w:p>
          <mc:AlternateContent>
            <mc:Choice Requires="wpsCustomData"/>
          </mc:AlternateContent>
          <w:p w14:paraId="678761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363C9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1B8F5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5. 要求继续履行或者解除合同</w:t>
            </w:r>
          </w:p>
        </w:tc>
        <w:tc>
          <w:tcPr>
            <w:tcW w:w="7332" w:type="dxa"/>
            <w:vAlign w:val="top"/>
          </w:tcPr>
          <w:p w14:paraId="1833B5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继续履行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日内履行完毕付款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供货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义务</w:t>
            </w:r>
          </w:p>
          <w:p w14:paraId="2E1AED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判令解除合同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2FE82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确认买卖合同已于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解除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</w:p>
        </w:tc>
      </w:tr>
      <w:tr w14:paraId="6BB69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6E3EFB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6. 是否主张担保权利</w:t>
            </w:r>
          </w:p>
        </w:tc>
        <w:tc>
          <w:tcPr>
            <w:tcW w:w="7332" w:type="dxa"/>
            <w:vAlign w:val="top"/>
          </w:tcPr>
          <w:p w14:paraId="40F96F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    内容：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AFE2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</w:tc>
      </w:tr>
      <w:tr w14:paraId="35B7E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1CFBF9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7. 是否主张实现债权的费用</w:t>
            </w:r>
          </w:p>
        </w:tc>
        <w:tc>
          <w:tcPr>
            <w:tcW w:w="7332" w:type="dxa"/>
            <w:vAlign w:val="top"/>
          </w:tcPr>
          <w:p w14:paraId="735B2A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    费用明细：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795ED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</w:tc>
      </w:tr>
      <w:tr w14:paraId="63E5D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5BFD03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8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是否主张诉讼费用</w:t>
            </w:r>
          </w:p>
        </w:tc>
        <w:tc>
          <w:tcPr>
            <w:tcW w:w="7332" w:type="dxa"/>
            <w:vAlign w:val="top"/>
          </w:tcPr>
          <w:p w14:paraId="025C26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9E3EA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2B74E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5CF095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9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其他请求</w:t>
            </w:r>
          </w:p>
        </w:tc>
        <w:tc>
          <w:tcPr>
            <w:tcW w:w="7332" w:type="dxa"/>
            <w:vAlign w:val="top"/>
          </w:tcPr>
          <w:p w14:paraId="3863F3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1C876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0B8AB7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标的总额</w:t>
            </w:r>
          </w:p>
        </w:tc>
        <w:tc>
          <w:tcPr>
            <w:tcW w:w="7332" w:type="dxa"/>
            <w:vAlign w:val="top"/>
          </w:tcPr>
          <w:p w14:paraId="1CEB4D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17FDE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2389C9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约定管辖和诉前保全</w:t>
            </w:r>
          </w:p>
        </w:tc>
      </w:tr>
      <w:tr w14:paraId="54FF1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20EFA2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有无仲裁、法院管辖约定</w:t>
            </w:r>
          </w:p>
        </w:tc>
        <w:tc>
          <w:tcPr>
            <w:tcW w:w="7332" w:type="dxa"/>
            <w:vAlign w:val="top"/>
          </w:tcPr>
          <w:p w14:paraId="476A3D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合同条款及内容：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741E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05D8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5A508B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是否已经诉前保全</w:t>
            </w:r>
          </w:p>
        </w:tc>
        <w:tc>
          <w:tcPr>
            <w:tcW w:w="7332" w:type="dxa"/>
            <w:vAlign w:val="top"/>
          </w:tcPr>
          <w:p w14:paraId="76684E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保全法院：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</w:p>
          <w:p w14:paraId="4D311B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ind w:firstLine="840" w:firstLineChars="4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保全案号：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7717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FA2DA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（如申请诉讼保全，请另行提交诉讼保全申请及相关材料）</w:t>
            </w:r>
          </w:p>
        </w:tc>
      </w:tr>
      <w:tr w14:paraId="2F14D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4C6D03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SimHei" w:hAnsi="SimHei" w:eastAsia="SimHei" w:cs="SimHei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事实与理由</w:t>
            </w:r>
          </w:p>
        </w:tc>
      </w:tr>
      <w:tr w14:paraId="6B1B59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398" w:hRule="atLeast"/>
        </w:trPr>
        <w:tc>
          <w:tcPr>
            <w:tcW w:w="9638" w:type="dxa"/>
            <w:gridSpan w:val="2"/>
            <w:vAlign w:val="top"/>
          </w:tcPr>
          <w:p w14:paraId="0617BCD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  <w:t>（可完整表述纠纷涉及的事实与理由；为方便、准确梳理要点，相关内容请在下方要素式表格中填写）</w:t>
            </w:r>
          </w:p>
          <w:p w14:paraId="06005A3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357248E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0256C54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054544D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mc:AlternateContent>
            <mc:Choice Requires="wpsCustomData"/>
          </mc:AlternateContent>
          <w:p w14:paraId="02C1866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100F8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7C98C34D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合同的签订情况（名称、编号、签订时间、地点等；如无书面合同，请注明“无书面合同”）</w:t>
            </w:r>
          </w:p>
        </w:tc>
        <w:tc>
          <w:tcPr>
            <w:tcW w:w="7332" w:type="dxa"/>
            <w:vAlign w:val="top"/>
          </w:tcPr>
          <w:p w14:paraId="50A4D9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258FD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504128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合同主体</w:t>
            </w:r>
          </w:p>
        </w:tc>
        <w:tc>
          <w:tcPr>
            <w:tcW w:w="7332" w:type="dxa"/>
            <w:vAlign w:val="top"/>
          </w:tcPr>
          <w:p w14:paraId="1C9005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出卖人（卖方）：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1BDB6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买受人（买方）：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4F962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6694D8F4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lef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买卖标的物情况</w:t>
            </w:r>
          </w:p>
          <w:p w14:paraId="6F45C6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（标的物名称、规格、</w:t>
            </w:r>
          </w:p>
          <w:p w14:paraId="4C6F0A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质量、数量等）</w:t>
            </w:r>
          </w:p>
        </w:tc>
        <w:tc>
          <w:tcPr>
            <w:tcW w:w="7332" w:type="dxa"/>
            <w:vAlign w:val="top"/>
          </w:tcPr>
          <w:p w14:paraId="72566F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320AB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12B7A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合同约定的价格及支付方式</w:t>
            </w:r>
          </w:p>
        </w:tc>
        <w:tc>
          <w:tcPr>
            <w:tcW w:w="7332" w:type="dxa"/>
            <w:vAlign w:val="top"/>
          </w:tcPr>
          <w:p w14:paraId="0E9B59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单价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元；总价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元； </w:t>
            </w:r>
          </w:p>
          <w:p w14:paraId="548021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以现金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转账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票据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（写明票据类型）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方式</w:t>
            </w:r>
          </w:p>
          <w:p w14:paraId="2FD8E8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一次性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分期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支付</w:t>
            </w:r>
          </w:p>
          <w:p w14:paraId="098200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分期方式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4D392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21A069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5. 合同约定的交货时</w:t>
            </w:r>
          </w:p>
          <w:p w14:paraId="5F7BE3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间、地点、方式、风</w:t>
            </w:r>
          </w:p>
          <w:p w14:paraId="7DB2E3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险承担、安装、调试、</w:t>
            </w:r>
          </w:p>
          <w:p w14:paraId="1E9BB4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验收</w:t>
            </w:r>
          </w:p>
        </w:tc>
        <w:tc>
          <w:tcPr>
            <w:tcW w:w="7332" w:type="dxa"/>
            <w:vAlign w:val="top"/>
          </w:tcPr>
          <w:p w14:paraId="58668A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5041C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16515E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6. 合同约定的质量标准及检验方式、质量异议期限</w:t>
            </w:r>
          </w:p>
        </w:tc>
        <w:tc>
          <w:tcPr>
            <w:tcW w:w="7332" w:type="dxa"/>
            <w:vAlign w:val="top"/>
          </w:tcPr>
          <w:p w14:paraId="75D463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4BA6D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312F2A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7. 合同约定的违约金</w:t>
            </w:r>
          </w:p>
          <w:p w14:paraId="20A32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（定金）</w:t>
            </w:r>
          </w:p>
        </w:tc>
        <w:tc>
          <w:tcPr>
            <w:tcW w:w="7332" w:type="dxa"/>
            <w:vAlign w:val="top"/>
          </w:tcPr>
          <w:p w14:paraId="4329DA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违约金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元（合同条款：第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条）</w:t>
            </w:r>
          </w:p>
          <w:p w14:paraId="2AB8B9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定金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元（合同条款：第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条）</w:t>
            </w:r>
          </w:p>
          <w:p w14:paraId="1C8CE3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迟延履行违约金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%/日（合同条款：第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条）</w:t>
            </w:r>
          </w:p>
        </w:tc>
      </w:tr>
      <w:tr w14:paraId="4D7BE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4F3ABB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8. 价款支付及标的物交付情况</w:t>
            </w:r>
          </w:p>
        </w:tc>
        <w:tc>
          <w:tcPr>
            <w:tcW w:w="7332" w:type="dxa"/>
            <w:vAlign w:val="top"/>
          </w:tcPr>
          <w:p w14:paraId="30E567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按期支付价款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元，逾期付款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元，逾期未付款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</w:t>
            </w:r>
          </w:p>
          <w:p w14:paraId="2FDE88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按期交付标的物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件，逾期交付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件，逾期未交付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件</w:t>
            </w:r>
          </w:p>
        </w:tc>
      </w:tr>
      <w:tr w14:paraId="5820F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2CFA13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9. 是否存在迟延履行</w:t>
            </w:r>
          </w:p>
        </w:tc>
        <w:tc>
          <w:tcPr>
            <w:tcW w:w="7332" w:type="dxa"/>
            <w:vAlign w:val="top"/>
          </w:tcPr>
          <w:p w14:paraId="22F08E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迟延时间：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  逾期付款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逾期交货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4D42E7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E41BC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2419DA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10. 是否催促过履行</w:t>
            </w:r>
          </w:p>
        </w:tc>
        <w:tc>
          <w:tcPr>
            <w:tcW w:w="7332" w:type="dxa"/>
            <w:vAlign w:val="top"/>
          </w:tcPr>
          <w:p w14:paraId="2A732D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催促情况：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  年  月  日通过    方式进行了催促</w:t>
            </w:r>
            <mc:AlternateContent>
              <mc:Choice Requires="wpsCustomData"/>
            </mc:AlternateContent>
          </w:p>
          <w:p w14:paraId="7884DF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136A2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47DE47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11. 买卖合同标的物有无质量争议</w:t>
            </w:r>
          </w:p>
        </w:tc>
        <w:tc>
          <w:tcPr>
            <w:tcW w:w="7332" w:type="dxa"/>
            <w:vAlign w:val="top"/>
          </w:tcPr>
          <w:p w14:paraId="41666D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具体情况：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08CFD5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18C054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58C778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12. 标的物质量规格或履行方式是否存在不符合约定的情况</w:t>
            </w:r>
          </w:p>
        </w:tc>
        <w:tc>
          <w:tcPr>
            <w:tcW w:w="7332" w:type="dxa"/>
            <w:vAlign w:val="top"/>
          </w:tcPr>
          <w:p w14:paraId="7AF3BE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具体情况：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3CBAB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65308C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6B342F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13. 是否曾就标的物质量问题进行协商</w:t>
            </w:r>
          </w:p>
        </w:tc>
        <w:tc>
          <w:tcPr>
            <w:tcW w:w="7332" w:type="dxa"/>
            <w:vAlign w:val="top"/>
          </w:tcPr>
          <w:p w14:paraId="32A1C0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具体情况：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4F431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4816F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70DF69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14. 是否通知解除合同</w:t>
            </w:r>
          </w:p>
        </w:tc>
        <w:tc>
          <w:tcPr>
            <w:tcW w:w="7332" w:type="dxa"/>
            <w:vAlign w:val="top"/>
          </w:tcPr>
          <w:p w14:paraId="52CF7D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具体情况：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B8186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47310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0E68AB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15. 被告应当支付的利息、违约金、赔偿金</w:t>
            </w:r>
          </w:p>
        </w:tc>
        <w:tc>
          <w:tcPr>
            <w:tcW w:w="7332" w:type="dxa"/>
            <w:vAlign w:val="top"/>
          </w:tcPr>
          <w:p w14:paraId="5364AC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利息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</w:t>
            </w:r>
          </w:p>
          <w:p w14:paraId="24C1A4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违约金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</w:t>
            </w:r>
          </w:p>
          <w:p w14:paraId="2D36BF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赔偿金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</w:t>
            </w:r>
          </w:p>
          <w:p w14:paraId="746918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共计 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   计算方式：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266737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42B326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16. 是否签订物的担保（抵押、质押）合同</w:t>
            </w:r>
          </w:p>
        </w:tc>
        <w:tc>
          <w:tcPr>
            <w:tcW w:w="7332" w:type="dxa"/>
            <w:vAlign w:val="top"/>
          </w:tcPr>
          <w:p w14:paraId="08D59F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签订时间：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19622C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31EDC5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783617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17. 担保人、担保物</w:t>
            </w:r>
          </w:p>
        </w:tc>
        <w:tc>
          <w:tcPr>
            <w:tcW w:w="7332" w:type="dxa"/>
            <w:vAlign w:val="top"/>
          </w:tcPr>
          <w:p w14:paraId="1D4BCF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担保人：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398C6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担保物：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521F40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29D747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18. 是否最高额担保</w:t>
            </w:r>
          </w:p>
          <w:p w14:paraId="191D6F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（抵押、质押）</w:t>
            </w:r>
          </w:p>
        </w:tc>
        <w:tc>
          <w:tcPr>
            <w:tcW w:w="7332" w:type="dxa"/>
            <w:vAlign w:val="top"/>
          </w:tcPr>
          <w:p w14:paraId="205F39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担保债权的确定时间：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53E6BB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   担保额度：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4201E9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02468F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40B4B2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19. 是否办理抵押、质</w:t>
            </w:r>
          </w:p>
          <w:p w14:paraId="58510E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押登记</w:t>
            </w:r>
          </w:p>
        </w:tc>
        <w:tc>
          <w:tcPr>
            <w:tcW w:w="7332" w:type="dxa"/>
            <w:vAlign w:val="top"/>
          </w:tcPr>
          <w:p w14:paraId="15D433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正式登记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1E897B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   预告登记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E5C73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6AA5F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5B0D41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20. 是否签订保证合同</w:t>
            </w:r>
          </w:p>
        </w:tc>
        <w:tc>
          <w:tcPr>
            <w:tcW w:w="7332" w:type="dxa"/>
            <w:vAlign w:val="top"/>
          </w:tcPr>
          <w:p w14:paraId="5B3A3B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签订时间：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 保证人：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 主要内容：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03704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67AA05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1A0CA3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21. 保证方式</w:t>
            </w:r>
          </w:p>
        </w:tc>
        <w:tc>
          <w:tcPr>
            <w:tcW w:w="7332" w:type="dxa"/>
            <w:vAlign w:val="top"/>
          </w:tcPr>
          <w:p w14:paraId="191D7C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一般保证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21611D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连带责任保证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61B30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4B153B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22. 其他担保方式</w:t>
            </w:r>
          </w:p>
        </w:tc>
        <w:tc>
          <w:tcPr>
            <w:tcW w:w="7332" w:type="dxa"/>
            <w:vAlign w:val="top"/>
          </w:tcPr>
          <w:p w14:paraId="139206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形式：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03D9A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7D4E8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3D1C2D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23. 请求承担责任的依据</w:t>
            </w:r>
          </w:p>
        </w:tc>
        <w:tc>
          <w:tcPr>
            <w:tcW w:w="7332" w:type="dxa"/>
            <w:vAlign w:val="top"/>
          </w:tcPr>
          <w:p w14:paraId="143F51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合同约定：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2C2C5E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法律规定：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3A26C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0E16CAC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24. 其他需要说明的内容（可另附页）</w:t>
            </w:r>
          </w:p>
        </w:tc>
        <w:tc>
          <w:tcPr>
            <w:tcW w:w="7332" w:type="dxa"/>
            <w:vAlign w:val="top"/>
          </w:tcPr>
          <w:p w14:paraId="1941B7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04DC9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28CF16B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25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证据清单（可另附页）</w:t>
            </w:r>
          </w:p>
        </w:tc>
        <w:tc>
          <w:tcPr>
            <w:tcW w:w="7332" w:type="dxa"/>
            <w:vAlign w:val="top"/>
          </w:tcPr>
          <w:p w14:paraId="752236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mc:AlternateContent>
              <mc:Choice Requires="wpsCustomData"/>
            </mc:AlternateContent>
          </w:p>
        </w:tc>
      </w:tr>
      <w:tr w14:paraId="40617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10EFD4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SimHei" w:hAnsi="SimHei" w:eastAsia="SimHei" w:cs="SimHei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对纠纷解决方式的意愿</w:t>
            </w:r>
          </w:p>
        </w:tc>
      </w:tr>
      <w:tr w14:paraId="17341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189E68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是否了解调解作为非诉讼纠纷解决方式，能及时、高效、低成本、不伤和气地解决纠纷</w:t>
            </w:r>
          </w:p>
        </w:tc>
        <w:tc>
          <w:tcPr>
            <w:tcW w:w="7332" w:type="dxa"/>
            <w:vAlign w:val="center"/>
          </w:tcPr>
          <w:p w14:paraId="736E43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6E7BE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5DA30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是否了解先行调解解决纠纷的好处</w:t>
            </w:r>
          </w:p>
        </w:tc>
        <w:tc>
          <w:tcPr>
            <w:tcW w:w="7332" w:type="dxa"/>
            <w:vAlign w:val="top"/>
          </w:tcPr>
          <w:p w14:paraId="6B9886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立案后选择先行调解的，可以很快启动调解程序。如不同意调解，法院 </w:t>
            </w:r>
          </w:p>
          <w:p w14:paraId="1FF955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将依程序开庭审理案件，但可能需要经过较长一段时间的排期等待，且审 </w:t>
            </w:r>
          </w:p>
          <w:p w14:paraId="473F82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理、执行周期相对较长。 </w:t>
            </w:r>
          </w:p>
          <w:p w14:paraId="7DF83E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DED15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选择先行调解，调解成功且自动履行的免交诉讼费用，申请司法确认的 </w:t>
            </w:r>
          </w:p>
          <w:p w14:paraId="64B7D4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不交纳诉讼费用，要求出具调解书的减半交纳诉讼费用。 </w:t>
            </w:r>
          </w:p>
          <w:p w14:paraId="6447F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54930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3. 首次调解不成功，但仍有继续调解意愿的，可以选择更换调解组织和调 </w:t>
            </w:r>
          </w:p>
          <w:p w14:paraId="3678B5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解员再进行调解。调解无法达成一致意见的，法院将依程序排期开庭。 </w:t>
            </w:r>
          </w:p>
          <w:p w14:paraId="1D241F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D30CA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4. 依照法律规定，调解具有保密性要求，调解过程不公开，调解协议未经 </w:t>
            </w:r>
          </w:p>
          <w:p w14:paraId="393687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当事人同意不得公开。 </w:t>
            </w:r>
          </w:p>
          <w:p w14:paraId="7CDDC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856B3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5. 调解达成的协议具有法律效力，可以依照法律规定申请司法确认，具有 </w:t>
            </w:r>
          </w:p>
          <w:p w14:paraId="7C87A9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强制执行效力。 </w:t>
            </w:r>
          </w:p>
          <w:p w14:paraId="53CA2E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1E717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0A7001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是否考虑先行调解 </w:t>
            </w:r>
          </w:p>
        </w:tc>
        <w:tc>
          <w:tcPr>
            <w:tcW w:w="7332" w:type="dxa"/>
            <w:vAlign w:val="top"/>
          </w:tcPr>
          <w:p w14:paraId="18791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6E943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BDE3A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暂不确定，想要了解更多内容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</w:tbl>
    <w:p w14:paraId="1F6828DF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55" w:line="240" w:lineRule="auto"/>
        <w:jc w:val="right"/>
        <w:textAlignment w:val="auto"/>
        <w:rPr>
          <w:rFonts w:hint="eastAsia" w:asciiTheme="majorEastAsia" w:hAnsiTheme="majorEastAsia" w:eastAsiaTheme="majorEastAsia" w:cstheme="majorEastAsia"/>
          <w:b/>
          <w:bCs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具状人（签字、盖章）：      </w:t>
      </w:r>
    </w:p>
    <w:p w14:paraId="5EE22038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right"/>
        <w:textAlignment w:val="auto"/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日期：    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     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</w:p>
    <w:p w14:paraId="683F4493">
      <w:pPr>
        <w:rPr>
          <w:rFonts w:hint="eastAsia" w:ascii="宋体" w:hAnsi="宋体" w:eastAsia="宋体" w:cs="宋体"/>
          <w:color w:val="231F20"/>
          <w:spacing w:val="-1"/>
          <w:sz w:val="30"/>
          <w:lang w:val="en-US" w:eastAsia="zh-CN"/>
        </w:rPr>
      </w:pPr>
    </w:p>
    <w:sectPr>
      <w:pgSz w:w="11906" w:h="16838"/>
      <w:pgMar w:top="1247" w:right="1134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SimHei">
    <w:altName w:val="汉仪中黑KW"/>
    <w:panose1 w:val="02010600030101010101"/>
    <w:charset w:val="00"/>
    <w:family w:val="auto"/>
    <w:pitch w:val="default"/>
    <w:sig w:usb0="00000000" w:usb1="00000000" w:usb2="00000010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8FE3D65"/>
    <w:multiLevelType w:val="singleLevel"/>
    <w:tmpl w:val="48FE3D65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25696856"/>
    <w:rsid w:val="2AD96BD0"/>
    <w:rsid w:val="2DAF9982"/>
    <w:rsid w:val="3FF3E419"/>
    <w:rsid w:val="3FFB1339"/>
    <w:rsid w:val="4F8C4D89"/>
    <w:rsid w:val="4FFFF658"/>
    <w:rsid w:val="5A5FAA6A"/>
    <w:rsid w:val="5BAF0938"/>
    <w:rsid w:val="5BEF292D"/>
    <w:rsid w:val="5DF33216"/>
    <w:rsid w:val="5E5E33A7"/>
    <w:rsid w:val="5EFF0770"/>
    <w:rsid w:val="5FD36766"/>
    <w:rsid w:val="645E5831"/>
    <w:rsid w:val="673B894D"/>
    <w:rsid w:val="688D69B6"/>
    <w:rsid w:val="69BF12EB"/>
    <w:rsid w:val="6B17B1CD"/>
    <w:rsid w:val="6BF7EEBB"/>
    <w:rsid w:val="6C71D418"/>
    <w:rsid w:val="6DFEC5AA"/>
    <w:rsid w:val="6ED29A9A"/>
    <w:rsid w:val="73E7BBAA"/>
    <w:rsid w:val="755B4D65"/>
    <w:rsid w:val="77DF77CE"/>
    <w:rsid w:val="77FC529F"/>
    <w:rsid w:val="77FD553E"/>
    <w:rsid w:val="7D7AFE09"/>
    <w:rsid w:val="7E7B04ED"/>
    <w:rsid w:val="7FAD41D6"/>
    <w:rsid w:val="7FD55F34"/>
    <w:rsid w:val="7FF77E2B"/>
    <w:rsid w:val="7FFE488E"/>
    <w:rsid w:val="9722D6AF"/>
    <w:rsid w:val="9FBE9E70"/>
    <w:rsid w:val="A3D7F124"/>
    <w:rsid w:val="AD3BB060"/>
    <w:rsid w:val="B7FA01A9"/>
    <w:rsid w:val="B7FF554F"/>
    <w:rsid w:val="B94D2D7B"/>
    <w:rsid w:val="BF6E2B06"/>
    <w:rsid w:val="CFF74533"/>
    <w:rsid w:val="D55712EF"/>
    <w:rsid w:val="DEEF928C"/>
    <w:rsid w:val="DFAFE51B"/>
    <w:rsid w:val="DFFCDC3B"/>
    <w:rsid w:val="EF5E20DA"/>
    <w:rsid w:val="EFDB3EA6"/>
    <w:rsid w:val="F0153712"/>
    <w:rsid w:val="F3BEB23D"/>
    <w:rsid w:val="F48EE057"/>
    <w:rsid w:val="F99F7760"/>
    <w:rsid w:val="FBEE736B"/>
    <w:rsid w:val="FCBB2BD2"/>
    <w:rsid w:val="FDB7C07B"/>
    <w:rsid w:val="FDF56730"/>
    <w:rsid w:val="FF6AB282"/>
    <w:rsid w:val="FFDF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qFormat/>
    <w:uiPriority w:val="1"/>
    <w:pPr>
      <w:ind w:left="97" w:right="378"/>
      <w:jc w:val="center"/>
      <w:outlineLvl w:val="1"/>
    </w:pPr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PMingLiU" w:hAnsi="PMingLiU" w:eastAsia="PMingLiU" w:cs="PMingLiU"/>
      <w:sz w:val="21"/>
      <w:szCs w:val="21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10">
    <w:name w:val="Table Normal1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  <w:style w:type="paragraph" w:styleId="12">
    <w:name w:val="List Paragraph"/>
    <w:basedOn w:val="1"/>
    <w:qFormat/>
    <w:uiPriority w:val="1"/>
    <w:pPr>
      <w:spacing w:before="72"/>
      <w:ind w:left="1025" w:hanging="209"/>
    </w:pPr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 WWO_wpscloud_20251223211022-ce96ae1422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2025-06-23T17:12:00Z</dcterms:created>
  <dc:creator>xyy</dc:creator>
  <cp:lastModifiedBy>boomyao</cp:lastModifiedBy>
  <dcterms:modified xsi:type="dcterms:W3CDTF">2026-04-09T17:28:29Z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2052-12.9.0.24132</vt:lpwstr>
  </property>
  <property fmtid="{D5CDD505-2E9C-101B-9397-08002B2CF9AE}" pid="3" name="ICV">
    <vt:lpwstr>253150AAD05C6D9F3D71D769D36C79E2_43</vt:lpwstr>
  </property>
  <property fmtid="{D5CDD505-2E9C-101B-9397-08002B2CF9AE}" pid="4" name="FachiWatermark">
    <vt:lpwstr>eyJjb21wYW55IjoiRmEgQ2hpIChHdWFuZ3pob3UpIFRlY2hub2xvZ3kgQ28uLCBMdGQiLCJ0aW1lc3RhbXAiOiIyMDI2LTA2LTA0IDA5OjU0OjI3IiwidXNlcklkIjoiY21lMjYzNDE5MDRraDNmZzM0djd1cXY1OSIsInZlcnNpb24iOiIxLjAifQ==</vt:lpwstr>
  </property>
</Properties>
</file>