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2C652F">
      <w:pPr>
        <w:pStyle w:val="3"/>
        <w:rPr>
          <w:rFonts w:hint="eastAsia" w:ascii="宋体" w:hAnsi="宋体" w:eastAsia="宋体" w:cs="宋体"/>
          <w:sz w:val="20"/>
        </w:rPr>
      </w:pPr>
    </w:p>
    <w:p w14:paraId="2F884B27">
      <w:pPr>
        <w:pStyle w:val="3"/>
        <w:spacing w:before="10"/>
        <w:rPr>
          <w:rFonts w:hint="eastAsia" w:ascii="宋体" w:hAnsi="宋体" w:eastAsia="宋体" w:cs="宋体"/>
          <w:sz w:val="24"/>
        </w:rPr>
      </w:pPr>
    </w:p>
    <w:p w14:paraId="5B009AA9">
      <w:pPr>
        <w:pStyle w:val="5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民事起诉状</w:t>
      </w:r>
    </w:p>
    <w:p w14:paraId="190F4A58">
      <w:pPr>
        <w:pStyle w:val="2"/>
        <w:spacing w:before="11"/>
        <w:ind w:right="682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（技术合同纠纷）</w:t>
      </w:r>
    </w:p>
    <w:p w14:paraId="5DC63C94">
      <w:pPr>
        <w:pStyle w:val="3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6"/>
        <w:tblW w:w="9343" w:type="dxa"/>
        <w:tblInd w:w="0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fixed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97"/>
        <w:gridCol w:w="6946"/>
      </w:tblGrid>
      <w:tr w14:paraId="1C5CD26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4450" w:hRule="atLeast"/>
        </w:trPr>
        <w:tc>
          <w:tcPr>
            <w:tcW w:w="9343" w:type="dxa"/>
            <w:gridSpan w:val="2"/>
            <w:tcBorders>
              <w:bottom w:val="single" w:color="231F20" w:sz="2" w:space="0"/>
            </w:tcBorders>
            <w:vAlign w:val="top"/>
          </w:tcPr>
          <w:p w14:paraId="0CDD9505">
            <w:pPr>
              <w:pStyle w:val="11"/>
              <w:spacing w:before="50"/>
              <w:ind w:left="85"/>
              <w:rPr>
                <w:rFonts w:hint="eastAsia" w:ascii="黑体" w:hAnsi="黑体" w:eastAsia="黑体" w:cs="黑体"/>
                <w:b w:val="0"/>
                <w:bCs w:val="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131042A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1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为了方便您更好地参加诉讼，保护您的合法权利，请填写本表。</w:t>
            </w:r>
          </w:p>
          <w:p w14:paraId="06A39DFD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tabs>
                <w:tab w:val="left" w:pos="70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after="0" w:line="320" w:lineRule="exact"/>
              <w:ind w:left="0" w:right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起诉时需向人民法院提交证明您身份的材料，如身份证复印件、营业执照复印件等。</w:t>
            </w:r>
          </w:p>
          <w:p w14:paraId="2A05C8F0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tabs>
                <w:tab w:val="left" w:pos="70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after="0" w:line="320" w:lineRule="exact"/>
              <w:ind w:left="0" w:right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本表所列内容是您参加诉讼以及人民法院查明案件事实所需，请务必如实填写。</w:t>
            </w:r>
          </w:p>
          <w:p w14:paraId="6789AFE5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tabs>
                <w:tab w:val="left" w:pos="71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after="0" w:line="320" w:lineRule="exact"/>
              <w:ind w:left="0" w:right="0" w:firstLine="420" w:firstLineChars="20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本表有些内容可能与您的案件无关，您认为与案件无关的项目可以填“无”或不填；对于</w:t>
            </w:r>
            <w:r>
              <w:rPr>
                <w:rFonts w:hint="eastAsia" w:ascii="宋体" w:hAnsi="宋体" w:eastAsia="宋体" w:cs="宋体"/>
                <w:color w:val="231F20"/>
                <w:spacing w:val="101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本表中勾选项可以在对应项打“√”；您认为另有重要内容需要列明的，可以另附页填写。</w:t>
            </w:r>
          </w:p>
          <w:p w14:paraId="0C4BB22F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tabs>
                <w:tab w:val="left" w:pos="70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right="0" w:firstLine="444" w:firstLineChars="20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6"/>
                <w:sz w:val="21"/>
              </w:rPr>
              <w:t>本表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word电子版填写时,相关栏目可复制粘贴或扩容, 但不得改变要素内容、格式设置。例如 , 多原告、多被告或多委托诉讼代理人等情况 , 可根据实际情况复制粘贴 ; 需填写文字较多时，可根据实际对栏目进行扩容等。</w:t>
            </w:r>
          </w:p>
          <w:p w14:paraId="4E20AC7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★特别提示★</w:t>
            </w:r>
          </w:p>
          <w:p w14:paraId="7382557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5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诉讼参加人应遵守诚信原则如实认真填写表格。</w:t>
            </w:r>
          </w:p>
          <w:p w14:paraId="19CE6F6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03D4B9A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0" w:hRule="atLeast"/>
        </w:trPr>
        <w:tc>
          <w:tcPr>
            <w:tcW w:w="9343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67E5398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当事人信息</w:t>
            </w:r>
          </w:p>
        </w:tc>
      </w:tr>
      <w:tr w14:paraId="52F4048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0" w:hRule="atLeast"/>
        </w:trPr>
        <w:tc>
          <w:tcPr>
            <w:tcW w:w="239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top"/>
          </w:tcPr>
          <w:p w14:paraId="2AA00F3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  <mc:AlternateContent>
              <mc:Choice Requires="wpsCustomData"/>
            </mc:AlternateContent>
          </w:p>
          <w:p w14:paraId="4C4AE65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61FD110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1"/>
              <w:ind w:left="0" w:right="0"/>
              <w:textAlignment w:val="auto"/>
              <w:rPr>
                <w:rFonts w:hint="eastAsia" w:ascii="宋体" w:hAnsi="宋体" w:eastAsia="宋体" w:cs="宋体"/>
                <w:sz w:val="12"/>
              </w:rPr>
            </w:pPr>
          </w:p>
          <w:p w14:paraId="692BB07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17C912D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694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4AACF36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9FA20A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CF89B52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8625D87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2CA11AA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9A04765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26C995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724DDE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16085A2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0" w:hRule="atLeast"/>
        </w:trPr>
        <w:tc>
          <w:tcPr>
            <w:tcW w:w="239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top"/>
          </w:tcPr>
          <w:p w14:paraId="1C9AFBE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  <mc:AlternateContent>
              <mc:Choice Requires="wpsCustomData"/>
            </mc:AlternateContent>
          </w:p>
          <w:p w14:paraId="3946BFB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4FD9765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50B57A6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"/>
              <w:ind w:left="0" w:right="0"/>
              <w:textAlignment w:val="auto"/>
              <w:rPr>
                <w:rFonts w:hint="eastAsia" w:ascii="宋体" w:hAnsi="宋体" w:eastAsia="宋体" w:cs="宋体"/>
                <w:sz w:val="17"/>
              </w:rPr>
            </w:pPr>
          </w:p>
          <w:p w14:paraId="2DF35B1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7CD81AF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694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1049524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52E1F0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422165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注册地 / 登记地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0EF4772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4DF7C657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C14CD5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AAC9BDA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7982400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FF59C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EA8C6E9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B253C6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27D29C4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  <mc:AlternateContent>
              <mc:Choice Requires="wpsCustomData"/>
            </mc:AlternateContent>
          </w:p>
          <w:p w14:paraId="2A17FEF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3"/>
              </w:rPr>
            </w:pPr>
          </w:p>
          <w:p w14:paraId="3BB3091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</w:tc>
        <w:tc>
          <w:tcPr>
            <w:tcW w:w="694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33BBA3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68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2C8309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D1163D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547FC21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  <w:p w14:paraId="46C1C7B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1D1C5C0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63ED77C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  <mc:AlternateContent>
              <mc:Choice Requires="wpsCustomData"/>
            </mc:AlternateContent>
          </w:p>
          <w:p w14:paraId="0C38A50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27BF2C5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  <w:p w14:paraId="5879B1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358E974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6946" w:type="dxa"/>
            <w:vAlign w:val="top"/>
          </w:tcPr>
          <w:p w14:paraId="5F1B50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6F8EB8A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1A9D838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AA54A9F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    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17F9BC6D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0E2AFD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2E6456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65C3B68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="宋体" w:hAnsi="宋体" w:cs="宋体" w:eastAsiaTheme="minorEastAsia"/>
                <w:sz w:val="21"/>
                <w:szCs w:val="22"/>
                <w:lang w:val="en-US" w:eastAsia="zh" w:bidi="ar-SA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bookmarkStart w:id="0" w:name="_GoBack"/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  <w:bookmarkEnd w:id="0"/>
          </w:p>
        </w:tc>
      </w:tr>
      <mc:AlternateContent>
        <mc:Choice Requires="wpsCustomData"/>
      </mc:AlternateContent>
      <w:tr w14:paraId="1ED16F7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tcMar>
              <w:top w:w="57" w:type="dxa"/>
              <w:left w:w="0" w:type="dxa"/>
              <w:bottom w:w="57" w:type="dxa"/>
              <w:right w:w="0" w:type="dxa"/>
            </w:tcMar>
            <w:vAlign w:val="top"/>
          </w:tcPr>
          <w:p w14:paraId="6834A4C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  <mc:AlternateContent>
              <mc:Choice Requires="wpsCustomData"/>
            </mc:AlternateContent>
          </w:p>
          <w:p w14:paraId="74873B0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48887B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2F8BC77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30"/>
              </w:rPr>
            </w:pPr>
          </w:p>
          <w:p w14:paraId="5991D3A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75BBCA2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6946" w:type="dxa"/>
            <w:vAlign w:val="top"/>
          </w:tcPr>
          <w:p w14:paraId="6EB19DE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377B9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09FA217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B60348A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56317AF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63219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37FC1A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6593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B2D1D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532F59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07105F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mc:AlternateContent>
        <mc:Choice Requires="wpsCustomData"/>
      </mc:AlternateContent>
      <w:tr w14:paraId="6F474EF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4894BC3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  <mc:AlternateContent>
              <mc:Choice Requires="wpsCustomData"/>
            </mc:AlternateContent>
          </w:p>
          <w:p w14:paraId="7C6AA7F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2647CB8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  <w:p w14:paraId="122F098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715BB9B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6946" w:type="dxa"/>
            <w:vAlign w:val="top"/>
          </w:tcPr>
          <w:p w14:paraId="53D9142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E5C487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1E8E5BB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53825D72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427D88F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7D1D51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30C4C0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39120CF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" w:bidi="ar-SA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3484F4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tcMar>
              <w:top w:w="57" w:type="dxa"/>
              <w:left w:w="0" w:type="dxa"/>
              <w:bottom w:w="57" w:type="dxa"/>
              <w:right w:w="0" w:type="dxa"/>
            </w:tcMar>
            <w:vAlign w:val="top"/>
          </w:tcPr>
          <w:p w14:paraId="2F075CC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  <mc:AlternateContent>
              <mc:Choice Requires="wpsCustomData"/>
            </mc:AlternateContent>
          </w:p>
          <w:p w14:paraId="1C3E212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605FB3E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6D8B142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"/>
              <w:ind w:left="0" w:right="0"/>
              <w:textAlignment w:val="auto"/>
              <w:rPr>
                <w:rFonts w:hint="eastAsia" w:ascii="宋体" w:hAnsi="宋体" w:eastAsia="宋体" w:cs="宋体"/>
                <w:sz w:val="17"/>
              </w:rPr>
            </w:pPr>
          </w:p>
          <w:p w14:paraId="1FE7F6D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0D58D89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6946" w:type="dxa"/>
            <w:vAlign w:val="top"/>
          </w:tcPr>
          <w:p w14:paraId="387148F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0AF6B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  <w:szCs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>）：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AB9191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1E98C4F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40DFF927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12808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</w:p>
          <w:p w14:paraId="2DB51E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2554D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134468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467F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BA8CA9D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  <w:u w:val="single" w:color="auto"/>
              </w:rPr>
              <w:t xml:space="preserve">  </w:t>
            </w:r>
          </w:p>
        </w:tc>
      </w:tr>
      <mc:AlternateContent>
        <mc:Choice Requires="wpsCustomData"/>
      </mc:AlternateContent>
      <w:tr w14:paraId="379C2FB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top"/>
          </w:tcPr>
          <w:p w14:paraId="26E4EDB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诉讼请求</w:t>
            </w:r>
          </w:p>
        </w:tc>
      </w:tr>
      <w:tr w14:paraId="636EA58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417" w:hRule="atLeast"/>
        </w:trPr>
        <w:tc>
          <w:tcPr>
            <w:tcW w:w="9343" w:type="dxa"/>
            <w:gridSpan w:val="2"/>
            <w:vAlign w:val="top"/>
          </w:tcPr>
          <w:p w14:paraId="123D6F8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leftChars="0" w:right="0" w:rightChars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2E247D7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397F4CB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11E83C5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16" w:line="32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.要求继续履行或是解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除合同</w:t>
            </w:r>
          </w:p>
        </w:tc>
        <w:tc>
          <w:tcPr>
            <w:tcW w:w="6946" w:type="dxa"/>
            <w:vAlign w:val="top"/>
          </w:tcPr>
          <w:p w14:paraId="2F6A0FC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  <w:tab w:val="left" w:pos="166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继续履行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日内履行完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毕</w:t>
            </w:r>
          </w:p>
          <w:p w14:paraId="16C74602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  <w:tab w:val="left" w:pos="166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判令解除合同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7ACD81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767"/>
                <w:tab w:val="left" w:pos="2397"/>
                <w:tab w:val="left" w:pos="30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确认合同已于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解除</w:t>
            </w:r>
          </w:p>
        </w:tc>
      </w:tr>
      <w:tr w14:paraId="694EEB4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2800CEE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.给付价款</w:t>
            </w:r>
          </w:p>
        </w:tc>
        <w:tc>
          <w:tcPr>
            <w:tcW w:w="6946" w:type="dxa"/>
            <w:vAlign w:val="top"/>
          </w:tcPr>
          <w:p w14:paraId="5F7ED5B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          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元（人民币，下同；如外币需特别注明）</w:t>
            </w:r>
          </w:p>
        </w:tc>
      </w:tr>
      <w:tr w14:paraId="77782EB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6C2BE99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4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</w:p>
          <w:p w14:paraId="5DE316C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.迟延给付价款、报酬</w:t>
            </w:r>
            <w:r>
              <w:rPr>
                <w:rFonts w:hint="eastAsia" w:ascii="宋体" w:hAnsi="宋体" w:eastAsia="宋体" w:cs="宋体"/>
                <w:color w:val="231F20"/>
                <w:spacing w:val="28"/>
                <w:sz w:val="21"/>
              </w:rPr>
              <w:t>及使用费的利息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（违约金）</w:t>
            </w:r>
          </w:p>
        </w:tc>
        <w:tc>
          <w:tcPr>
            <w:tcW w:w="6946" w:type="dxa"/>
            <w:vAlign w:val="top"/>
          </w:tcPr>
          <w:p w14:paraId="56A3E2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截至 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止，迟延给付价款的利息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元；违约金 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元；自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之后的逾期利息、违约金，以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元为基数按照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标准计算。 </w:t>
            </w:r>
          </w:p>
          <w:p w14:paraId="644107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计算方式：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572F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2DB3BB3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2FCDC19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30A09A8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17"/>
              </w:rPr>
            </w:pPr>
          </w:p>
          <w:p w14:paraId="5B74F37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4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.赔偿违约所受的损失</w:t>
            </w:r>
          </w:p>
        </w:tc>
        <w:tc>
          <w:tcPr>
            <w:tcW w:w="6946" w:type="dxa"/>
            <w:vAlign w:val="top"/>
          </w:tcPr>
          <w:p w14:paraId="68F0BFB2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768"/>
                <w:tab w:val="left" w:pos="265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支付赔偿金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元</w:t>
            </w:r>
          </w:p>
          <w:p w14:paraId="11346B5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4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违约类型：迟延履行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不履行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0D42CEBD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4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具体情形：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67977E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损失计算依据：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A82238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44B2331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43E77AC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16" w:line="32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5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.是否主张诉讼费用</w:t>
            </w:r>
          </w:p>
        </w:tc>
        <w:tc>
          <w:tcPr>
            <w:tcW w:w="6946" w:type="dxa"/>
            <w:vAlign w:val="top"/>
          </w:tcPr>
          <w:p w14:paraId="259C1E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8B9178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1C085A1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037EDF3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16" w:line="32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6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.其他请求</w:t>
            </w:r>
          </w:p>
        </w:tc>
        <w:tc>
          <w:tcPr>
            <w:tcW w:w="6946" w:type="dxa"/>
            <w:vAlign w:val="top"/>
          </w:tcPr>
          <w:p w14:paraId="18799E0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76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如是否主张连带赔偿责任等其他请求</w:t>
            </w:r>
            <mc:AlternateContent>
              <mc:Choice Requires="wpsCustomData"/>
            </mc:AlternateContent>
          </w:p>
          <w:p w14:paraId="63BDB9F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072A8B5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top"/>
          </w:tcPr>
          <w:p w14:paraId="71F1FF5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鉴定和诉前保全</w:t>
            </w:r>
          </w:p>
        </w:tc>
      </w:tr>
      <w:tr w14:paraId="36C1BAC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47657D0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4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</w:p>
          <w:p w14:paraId="42D834FF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是否申请鉴定</w:t>
            </w:r>
          </w:p>
        </w:tc>
        <w:tc>
          <w:tcPr>
            <w:tcW w:w="6946" w:type="dxa"/>
            <w:vAlign w:val="top"/>
          </w:tcPr>
          <w:p w14:paraId="7CB37C0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7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鉴定内容：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70B837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鉴定机构名称：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55C011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1B36F59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cantSplit/>
          <w:trHeight w:val="0" w:hRule="atLeast"/>
        </w:trPr>
        <w:tc>
          <w:tcPr>
            <w:tcW w:w="2397" w:type="dxa"/>
            <w:vAlign w:val="center"/>
          </w:tcPr>
          <w:p w14:paraId="2BA0332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是否已经诉前保全</w:t>
            </w:r>
          </w:p>
        </w:tc>
        <w:tc>
          <w:tcPr>
            <w:tcW w:w="6946" w:type="dxa"/>
            <w:vAlign w:val="top"/>
          </w:tcPr>
          <w:p w14:paraId="03C9A2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保全法院：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保全时间：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mc:AlternateContent>
            <mc:Choice Requires="wpsCustomData"/>
          </mc:AlternateContent>
          <w:p w14:paraId="7EBB0D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保全案号：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E89B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13EE4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（如申请诉讼保全，请另行提交诉讼保全申请及相关材料）</w:t>
            </w:r>
          </w:p>
        </w:tc>
      </w:tr>
      <w:tr w14:paraId="154099E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top"/>
          </w:tcPr>
          <w:p w14:paraId="772D5CA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事实与理由</w:t>
            </w:r>
          </w:p>
        </w:tc>
      </w:tr>
      <w:tr w14:paraId="0732803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9343" w:type="dxa"/>
            <w:gridSpan w:val="2"/>
            <w:vAlign w:val="top"/>
          </w:tcPr>
          <w:p w14:paraId="5EC9E82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/>
              <w:ind w:left="0" w:leftChars="0" w:right="0" w:rightChars="0"/>
              <w:textAlignment w:val="auto"/>
              <w:rPr>
                <w:rFonts w:hint="default" w:ascii="楷体" w:hAnsi="楷体" w:eastAsia="楷体" w:cs="楷体"/>
                <w:color w:val="231F20"/>
                <w:spacing w:val="-5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楷体" w:hAnsi="楷体" w:eastAsia="楷体" w:cs="楷体"/>
                <w:color w:val="231F20"/>
                <w:spacing w:val="-5"/>
                <w:sz w:val="21"/>
                <w:lang w:val="en-US"/>
              </w:rPr>
              <w:t xml:space="preserve">( </w:t>
            </w:r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可完整表述纠纷涉及的事实与理由；为方便、准确梳理要点，相关内容请在下方要素式表格中填写</w:t>
            </w:r>
            <w:r>
              <w:rPr>
                <w:rFonts w:hint="default" w:ascii="楷体" w:hAnsi="楷体" w:eastAsia="楷体" w:cs="楷体"/>
                <w:color w:val="231F20"/>
                <w:spacing w:val="-5"/>
                <w:sz w:val="21"/>
                <w:lang w:val="en-US"/>
              </w:rPr>
              <w:t xml:space="preserve"> )</w:t>
            </w:r>
          </w:p>
          <w:p w14:paraId="3BB0FFC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6B6C940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1438C87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.技术合同的签订情况</w:t>
            </w:r>
          </w:p>
          <w:p w14:paraId="3348C8C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>技术领域，项目的名</w:t>
            </w:r>
            <w:r>
              <w:rPr>
                <w:rFonts w:hint="eastAsia" w:ascii="宋体" w:hAnsi="宋体" w:eastAsia="宋体" w:cs="宋体"/>
                <w:color w:val="231F20"/>
                <w:spacing w:val="23"/>
                <w:sz w:val="21"/>
              </w:rPr>
              <w:t>称，标的的内容、范围和要求，履行的计划、地点和方式，技</w:t>
            </w:r>
            <w:r>
              <w:rPr>
                <w:rFonts w:hint="eastAsia" w:ascii="宋体" w:hAnsi="宋体" w:eastAsia="宋体" w:cs="宋体"/>
                <w:color w:val="231F20"/>
                <w:spacing w:val="26"/>
                <w:sz w:val="21"/>
              </w:rPr>
              <w:t>术成果的归属和收益</w:t>
            </w:r>
            <w:r>
              <w:rPr>
                <w:rFonts w:hint="eastAsia" w:ascii="宋体" w:hAnsi="宋体" w:eastAsia="宋体" w:cs="宋体"/>
                <w:color w:val="231F20"/>
                <w:spacing w:val="24"/>
                <w:sz w:val="21"/>
              </w:rPr>
              <w:t>的分配办法，验收标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准和方法等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</w:p>
        </w:tc>
        <w:tc>
          <w:tcPr>
            <w:tcW w:w="6946" w:type="dxa"/>
            <w:vAlign w:val="top"/>
          </w:tcPr>
          <w:p w14:paraId="4D375E9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" w:bidi="ar-SA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4F5CDB9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2AB9258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.合同签订主体</w:t>
            </w:r>
          </w:p>
        </w:tc>
        <w:tc>
          <w:tcPr>
            <w:tcW w:w="6946" w:type="dxa"/>
            <w:vAlign w:val="top"/>
          </w:tcPr>
          <w:p w14:paraId="2CDF534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" w:bidi="ar-SA"/>
                <w:woUserID w:val="1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" w:bidi="ar-SA"/>
                <w:woUserID w:val="1"/>
              </w:rPr>
              <w:t xml:space="preserve"> </w:t>
            </w:r>
          </w:p>
        </w:tc>
      </w:tr>
      <w:tr w14:paraId="13D6320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5D438B2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.约定的合同期限</w:t>
            </w:r>
          </w:p>
        </w:tc>
        <w:tc>
          <w:tcPr>
            <w:tcW w:w="6946" w:type="dxa"/>
            <w:vAlign w:val="top"/>
          </w:tcPr>
          <w:p w14:paraId="016817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      年   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起至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年   月  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止</w:t>
            </w:r>
          </w:p>
        </w:tc>
      </w:tr>
      <w:tr w14:paraId="40311FF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0F87E42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278" w:lineRule="auto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4</w:t>
            </w:r>
            <w:r>
              <w:rPr>
                <w:rFonts w:hint="eastAsia" w:ascii="宋体" w:hAnsi="宋体" w:eastAsia="宋体" w:cs="宋体"/>
                <w:color w:val="231F20"/>
                <w:spacing w:val="20"/>
                <w:sz w:val="21"/>
              </w:rPr>
              <w:t>.约定的给付价款、</w:t>
            </w:r>
            <w:r>
              <w:rPr>
                <w:rFonts w:hint="eastAsia" w:ascii="宋体" w:hAnsi="宋体" w:eastAsia="宋体" w:cs="宋体"/>
                <w:color w:val="231F20"/>
                <w:spacing w:val="23"/>
                <w:sz w:val="21"/>
              </w:rPr>
              <w:t>报酬、使用费及支付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方式</w:t>
            </w:r>
          </w:p>
        </w:tc>
        <w:tc>
          <w:tcPr>
            <w:tcW w:w="6946" w:type="dxa"/>
            <w:vAlign w:val="top"/>
          </w:tcPr>
          <w:p w14:paraId="146DF57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" w:bidi="ar-SA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1F7C835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04F7308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5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.约定的给付价款利息</w:t>
            </w:r>
            <w:r>
              <w:rPr>
                <w:rFonts w:hint="default" w:ascii="宋体" w:hAnsi="宋体" w:eastAsia="宋体" w:cs="宋体"/>
                <w:color w:val="231F20"/>
                <w:spacing w:val="-1"/>
                <w:sz w:val="21"/>
                <w:lang w:val="en-US"/>
              </w:rPr>
              <w:t xml:space="preserve">(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违约金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 xml:space="preserve"> )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及计算方式</w:t>
            </w:r>
          </w:p>
        </w:tc>
        <w:tc>
          <w:tcPr>
            <w:tcW w:w="6946" w:type="dxa"/>
            <w:vAlign w:val="top"/>
          </w:tcPr>
          <w:p w14:paraId="0880DB5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" w:bidi="ar-SA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0989AB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6F9ECDD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6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.技术合同履行情况</w:t>
            </w:r>
          </w:p>
        </w:tc>
        <w:tc>
          <w:tcPr>
            <w:tcW w:w="6946" w:type="dxa"/>
            <w:vAlign w:val="top"/>
          </w:tcPr>
          <w:p w14:paraId="510A032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" w:bidi="ar-SA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63BAB49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13CF8E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7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.其他情况及依据</w:t>
            </w:r>
          </w:p>
        </w:tc>
        <w:tc>
          <w:tcPr>
            <w:tcW w:w="6946" w:type="dxa"/>
            <w:vAlign w:val="top"/>
          </w:tcPr>
          <w:p w14:paraId="443B0C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" w:bidi="ar-SA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74FA1C5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113F2B0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/>
              <w:ind w:left="0" w:leftChars="0" w:right="0" w:rightChars="0"/>
              <w:textAlignment w:val="auto"/>
              <w:rPr>
                <w:rFonts w:hint="default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8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</w:rPr>
              <w:t>.证据清单</w:t>
            </w:r>
            <w:r>
              <w:rPr>
                <w:rFonts w:hint="default" w:ascii="宋体" w:hAnsi="宋体" w:eastAsia="宋体" w:cs="宋体"/>
                <w:color w:val="231F20"/>
                <w:spacing w:val="-10"/>
                <w:sz w:val="21"/>
                <w:lang w:val="en-US"/>
              </w:rPr>
              <w:t xml:space="preserve"> ( </w:t>
            </w:r>
            <w:r>
              <w:rPr>
                <w:rFonts w:hint="eastAsia" w:ascii="宋体" w:hAnsi="宋体" w:eastAsia="宋体" w:cs="宋体"/>
                <w:color w:val="231F20"/>
                <w:spacing w:val="-13"/>
                <w:sz w:val="21"/>
              </w:rPr>
              <w:t>可另附页</w:t>
            </w:r>
            <w:r>
              <w:rPr>
                <w:rFonts w:hint="default" w:ascii="宋体" w:hAnsi="宋体" w:eastAsia="宋体" w:cs="宋体"/>
                <w:color w:val="231F20"/>
                <w:spacing w:val="-13"/>
                <w:sz w:val="21"/>
                <w:lang w:val="en-US"/>
              </w:rPr>
              <w:t xml:space="preserve"> )</w:t>
            </w:r>
          </w:p>
        </w:tc>
        <w:tc>
          <w:tcPr>
            <w:tcW w:w="6946" w:type="dxa"/>
            <w:vAlign w:val="top"/>
          </w:tcPr>
          <w:p w14:paraId="35142D3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" w:bidi="ar-SA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58CABC7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top"/>
          </w:tcPr>
          <w:p w14:paraId="72D32E6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关联案件信息</w:t>
            </w:r>
          </w:p>
        </w:tc>
      </w:tr>
      <w:tr w14:paraId="326D9E7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top"/>
          </w:tcPr>
          <w:p w14:paraId="334E8FE5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76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内容：</w:t>
            </w:r>
            <w:r>
              <w:rPr>
                <w:rFonts w:hint="eastAsia" w:ascii="宋体" w:hAnsi="宋体" w:eastAsia="宋体" w:cs="宋体"/>
                <w:color w:val="231F20"/>
                <w:spacing w:val="10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件（已结、未结</w:t>
            </w:r>
            <w:r>
              <w:rPr>
                <w:rFonts w:hint="eastAsia" w:ascii="宋体" w:hAnsi="宋体" w:eastAsia="宋体" w:cs="宋体"/>
                <w:color w:val="231F20"/>
                <w:spacing w:val="-10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、案号、案由、当事人、审理法院、案件进展等（可另附页）</w:t>
            </w:r>
          </w:p>
          <w:p w14:paraId="65E0090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6F7295C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top"/>
          </w:tcPr>
          <w:p w14:paraId="31A67D1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对纠纷解决方式的意愿</w:t>
            </w:r>
          </w:p>
        </w:tc>
      </w:tr>
      <w:tr w14:paraId="25A2BA5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229B406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278" w:lineRule="auto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是否了解调解作为非诉</w:t>
            </w:r>
            <w:r>
              <w:rPr>
                <w:rFonts w:hint="eastAsia" w:ascii="宋体" w:hAnsi="宋体" w:eastAsia="宋体" w:cs="宋体"/>
                <w:color w:val="231F20"/>
                <w:spacing w:val="25"/>
                <w:sz w:val="21"/>
              </w:rPr>
              <w:t>讼纠纷解决方式，能</w:t>
            </w:r>
            <w:r>
              <w:rPr>
                <w:rFonts w:hint="eastAsia" w:ascii="宋体" w:hAnsi="宋体" w:eastAsia="宋体" w:cs="宋体"/>
                <w:color w:val="231F20"/>
                <w:spacing w:val="7"/>
                <w:sz w:val="21"/>
              </w:rPr>
              <w:t>及时、高效、低成本、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不伤和气地解决纠纷</w:t>
            </w:r>
          </w:p>
        </w:tc>
        <w:tc>
          <w:tcPr>
            <w:tcW w:w="6946" w:type="dxa"/>
            <w:vAlign w:val="center"/>
          </w:tcPr>
          <w:p w14:paraId="39B8952D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9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51DAC87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6143F11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0F5E0BA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3DD5AC3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78161A2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19E5692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5D04A5C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"/>
              <w:ind w:left="0" w:right="0"/>
              <w:textAlignment w:val="auto"/>
              <w:rPr>
                <w:rFonts w:hint="eastAsia" w:ascii="宋体" w:hAnsi="宋体" w:eastAsia="宋体" w:cs="宋体"/>
                <w:sz w:val="17"/>
              </w:rPr>
            </w:pPr>
          </w:p>
          <w:p w14:paraId="5218970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78" w:lineRule="auto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23"/>
                <w:sz w:val="21"/>
              </w:rPr>
              <w:t>是否了解先行调解解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决纠纷的好处</w:t>
            </w:r>
          </w:p>
        </w:tc>
        <w:tc>
          <w:tcPr>
            <w:tcW w:w="6946" w:type="dxa"/>
            <w:vAlign w:val="top"/>
          </w:tcPr>
          <w:p w14:paraId="17BD699D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after="0" w:line="278" w:lineRule="auto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立案后选择先行调解的，可以很快启动调解程序。如不同意调解，法院将依程序开庭审理案件，但可能需要经过较长一段时间的排期等待，且审理、执行周期相对较长。</w:t>
            </w:r>
          </w:p>
          <w:p w14:paraId="1A7CBFA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92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</w:p>
          <w:p w14:paraId="5D8E8ACB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after="0" w:line="278" w:lineRule="auto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选择先行调解，调解成功且自动履行的免交诉讼费用，申请司法确认的不交纳诉讼费用，要求出具调解书的减半交纳诉讼费用。</w:t>
            </w:r>
          </w:p>
          <w:p w14:paraId="0D16C65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92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</w:p>
          <w:p w14:paraId="0777C613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after="0" w:line="278" w:lineRule="auto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首次调解不成功，但仍有继续调解意愿的，可以选择更换调解组织和调解员再进行调解。调解无法达成一致意见的，法院将依程序排期开庭。</w:t>
            </w:r>
          </w:p>
          <w:p w14:paraId="533EAE8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92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</w:p>
          <w:p w14:paraId="77D26C72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after="0" w:line="278" w:lineRule="auto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依照法律规定，调解具有保密性要求，调解过程不公开，调解协议未经当事人同意不得公开。</w:t>
            </w:r>
          </w:p>
          <w:p w14:paraId="389183F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92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</w:p>
          <w:p w14:paraId="2393700B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after="0" w:line="278" w:lineRule="auto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调解达成的协议具有法律效力，可以依照法律规定申请司法确认，具有强制执行效力。</w:t>
            </w:r>
          </w:p>
          <w:p w14:paraId="1582575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92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2FE41EA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97" w:type="dxa"/>
            <w:vAlign w:val="top"/>
          </w:tcPr>
          <w:p w14:paraId="3E773CE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4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</w:p>
          <w:p w14:paraId="54DD870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是否考虑先行调解</w:t>
            </w:r>
          </w:p>
        </w:tc>
        <w:tc>
          <w:tcPr>
            <w:tcW w:w="6946" w:type="dxa"/>
            <w:vAlign w:val="top"/>
          </w:tcPr>
          <w:p w14:paraId="15F35AF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278" w:lineRule="auto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7F25BC1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278" w:lineRule="auto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</w:p>
          <w:p w14:paraId="6E2E8B5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92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</w:tbl>
    <w:p w14:paraId="08004014">
      <w:pPr>
        <w:pStyle w:val="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60" w:line="240" w:lineRule="auto"/>
        <w:ind w:left="0" w:right="0"/>
        <w:jc w:val="right"/>
        <w:textAlignment w:val="auto"/>
        <w:rPr>
          <w:rFonts w:hint="default" w:ascii="黑体" w:hAnsi="黑体" w:eastAsia="黑体" w:cs="黑体"/>
          <w:color w:val="231F20"/>
          <w:spacing w:val="-66"/>
          <w:lang w:val="en-US" w:eastAsia="zh-CN"/>
        </w:rPr>
      </w:pPr>
      <w:r>
        <w:rPr>
          <w:rFonts w:hint="eastAsia" w:ascii="黑体" w:hAnsi="黑体" w:eastAsia="黑体" w:cs="黑体"/>
          <w:color w:val="231F20"/>
        </w:rPr>
        <w:t>具状人（签字、盖章</w:t>
      </w:r>
      <w:r>
        <w:rPr>
          <w:rFonts w:hint="eastAsia" w:ascii="黑体" w:hAnsi="黑体" w:eastAsia="黑体" w:cs="黑体"/>
          <w:color w:val="231F20"/>
          <w:spacing w:val="-66"/>
        </w:rPr>
        <w:t>）：</w:t>
      </w:r>
      <w:r>
        <w:rPr>
          <w:rFonts w:hint="eastAsia" w:ascii="黑体" w:hAnsi="黑体" w:eastAsia="黑体" w:cs="黑体"/>
          <w:color w:val="231F20"/>
          <w:spacing w:val="-66"/>
          <w:lang w:eastAsia="zh"/>
          <w:woUserID w:val="1"/>
        </w:rPr>
        <w:t xml:space="preserve">              </w:t>
      </w:r>
      <w:r>
        <w:rPr>
          <w:rFonts w:hint="eastAsia" w:ascii="黑体" w:hAnsi="黑体" w:eastAsia="黑体" w:cs="黑体"/>
          <w:color w:val="231F20"/>
          <w:spacing w:val="-66"/>
          <w:lang w:val="en-US" w:eastAsia="zh-CN"/>
        </w:rPr>
        <w:t xml:space="preserve">         </w:t>
      </w:r>
    </w:p>
    <w:p w14:paraId="348B9265">
      <w:pPr>
        <w:pStyle w:val="3"/>
        <w:wordWrap w:val="0"/>
        <w:spacing w:before="138" w:line="240" w:lineRule="auto"/>
        <w:ind w:right="1254"/>
        <w:jc w:val="right"/>
        <w:rPr>
          <w:rFonts w:hint="default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color w:val="231F20"/>
        </w:rPr>
        <w:t>日期：</w:t>
      </w:r>
      <w:r>
        <w:rPr>
          <w:rFonts w:hint="eastAsia" w:ascii="黑体" w:hAnsi="黑体" w:eastAsia="黑体" w:cs="黑体"/>
          <w:color w:val="231F2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231F20"/>
          <w:lang w:val="en-US" w:eastAsia="zh"/>
          <w:woUserID w:val="1"/>
        </w:rPr>
        <w:t xml:space="preserve">   </w:t>
      </w:r>
      <w:r>
        <w:rPr>
          <w:rFonts w:hint="eastAsia" w:ascii="黑体" w:hAnsi="黑体" w:eastAsia="黑体" w:cs="黑体"/>
          <w:color w:val="231F20"/>
          <w:lang w:val="en-US" w:eastAsia="zh-CN"/>
        </w:rPr>
        <w:t xml:space="preserve">     </w:t>
      </w:r>
      <w:r>
        <w:rPr>
          <w:rFonts w:hint="eastAsia" w:ascii="黑体" w:hAnsi="黑体" w:eastAsia="黑体" w:cs="黑体"/>
          <w:color w:val="231F20"/>
          <w:lang w:val="en-US" w:eastAsia="zh"/>
          <w:woUserID w:val="1"/>
        </w:rPr>
        <w:t xml:space="preserve">   </w:t>
      </w:r>
      <w:r>
        <w:rPr>
          <w:rFonts w:hint="eastAsia" w:ascii="黑体" w:hAnsi="黑体" w:eastAsia="黑体" w:cs="黑体"/>
          <w:color w:val="231F20"/>
          <w:lang w:val="en-US" w:eastAsia="zh-CN"/>
        </w:rPr>
        <w:t xml:space="preserve">      </w:t>
      </w:r>
    </w:p>
    <w:p w14:paraId="6B71977B">
      <w:pPr>
        <w:spacing w:after="0" w:line="189" w:lineRule="auto"/>
        <w:jc w:val="right"/>
        <w:rPr>
          <w:rFonts w:hint="eastAsia" w:ascii="黑体" w:hAnsi="黑体" w:eastAsia="黑体" w:cs="黑体"/>
        </w:rPr>
        <w:sectPr>
          <w:type w:val="continuous"/>
          <w:pgSz w:w="11910" w:h="16840"/>
          <w:pgMar w:top="567" w:right="1389" w:bottom="567" w:left="1389" w:header="0" w:footer="763" w:gutter="0"/>
          <w:cols w:space="720" w:num="1"/>
        </w:sectPr>
      </w:pPr>
    </w:p>
    <w:p w14:paraId="10AE4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340" w:lineRule="atLeast"/>
        <w:ind w:left="0" w:right="0"/>
        <w:textAlignment w:val="auto"/>
        <w:rPr>
          <w:rFonts w:hint="eastAsia" w:ascii="宋体" w:hAnsi="宋体" w:eastAsia="宋体" w:cs="宋体"/>
          <w:sz w:val="21"/>
        </w:rPr>
        <w:sectPr>
          <w:footerReference r:id="rId5" w:type="default"/>
          <w:footerReference r:id="rId6" w:type="even"/>
          <w:type w:val="continuous"/>
          <w:pgSz w:w="11910" w:h="16840"/>
          <w:pgMar w:top="1580" w:right="1000" w:bottom="960" w:left="1020" w:header="720" w:footer="763" w:gutter="0"/>
          <w:pgNumType w:start="492"/>
          <w:cols w:space="720" w:num="1"/>
        </w:sectPr>
      </w:pPr>
    </w:p>
    <w:p w14:paraId="2292D60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right="0"/>
        <w:jc w:val="left"/>
        <w:textAlignment w:val="auto"/>
        <w:rPr>
          <w:rFonts w:hint="eastAsia" w:ascii="黑体" w:hAnsi="黑体" w:eastAsia="黑体" w:cs="黑体"/>
          <w:color w:val="231F20"/>
        </w:rPr>
      </w:pPr>
      <w:r>
        <w:rPr>
          <w:rFonts w:hint="eastAsia" w:ascii="黑体" w:hAnsi="黑体" w:eastAsia="黑体" w:cs="黑体"/>
          <w:color w:val="231F20"/>
        </w:rPr>
        <w:t>附件</w:t>
      </w:r>
    </w:p>
    <w:p w14:paraId="5EF5695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right="0"/>
        <w:jc w:val="left"/>
        <w:textAlignment w:val="auto"/>
        <w:rPr>
          <w:rFonts w:hint="eastAsia" w:ascii="黑体" w:hAnsi="黑体" w:eastAsia="黑体" w:cs="黑体"/>
          <w:color w:val="231F20"/>
        </w:rPr>
      </w:pPr>
    </w:p>
    <w:p w14:paraId="642ADC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/>
        <w:ind w:left="0" w:right="0" w:firstLine="0"/>
        <w:jc w:val="center"/>
        <w:textAlignment w:val="auto"/>
        <w:rPr>
          <w:rFonts w:hint="eastAsia" w:ascii="宋体" w:hAnsi="宋体" w:eastAsia="宋体" w:cs="宋体"/>
          <w:sz w:val="36"/>
        </w:rPr>
      </w:pPr>
      <w:r>
        <w:rPr>
          <w:rFonts w:hint="eastAsia" w:ascii="黑体" w:hAnsi="黑体" w:eastAsia="黑体" w:cs="黑体"/>
          <w:color w:val="231F20"/>
          <w:sz w:val="36"/>
        </w:rPr>
        <w:t>原告证据清单</w:t>
      </w:r>
    </w:p>
    <w:p w14:paraId="69E232D7">
      <w:pPr>
        <w:pStyle w:val="3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6"/>
        <w:tblW w:w="0" w:type="auto"/>
        <w:tblInd w:w="408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8"/>
        <w:gridCol w:w="1330"/>
        <w:gridCol w:w="3043"/>
        <w:gridCol w:w="1456"/>
        <w:gridCol w:w="2509"/>
      </w:tblGrid>
      <w:tr w14:paraId="3CB4A02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trHeight w:val="372" w:hRule="atLeast"/>
        </w:trPr>
        <w:tc>
          <w:tcPr>
            <w:tcW w:w="1018" w:type="dxa"/>
            <w:tcBorders>
              <w:bottom w:val="single" w:color="231F20" w:sz="2" w:space="0"/>
              <w:right w:val="single" w:color="231F20" w:sz="2" w:space="0"/>
            </w:tcBorders>
            <w:vAlign w:val="center"/>
          </w:tcPr>
          <w:p w14:paraId="4BF92AE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编号</w:t>
            </w:r>
          </w:p>
        </w:tc>
        <w:tc>
          <w:tcPr>
            <w:tcW w:w="1330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C4E6E3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页码</w:t>
            </w:r>
          </w:p>
        </w:tc>
        <w:tc>
          <w:tcPr>
            <w:tcW w:w="3043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F944F5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证据名称</w:t>
            </w:r>
          </w:p>
        </w:tc>
        <w:tc>
          <w:tcPr>
            <w:tcW w:w="1456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24AD83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证据来源</w:t>
            </w:r>
          </w:p>
        </w:tc>
        <w:tc>
          <w:tcPr>
            <w:tcW w:w="2509" w:type="dxa"/>
            <w:tcBorders>
              <w:left w:val="single" w:color="231F20" w:sz="2" w:space="0"/>
              <w:bottom w:val="single" w:color="231F20" w:sz="2" w:space="0"/>
            </w:tcBorders>
            <w:vAlign w:val="center"/>
          </w:tcPr>
          <w:p w14:paraId="4691940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拟证明事项</w:t>
            </w:r>
          </w:p>
        </w:tc>
      </w:tr>
      <w:tr w14:paraId="1D8C435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trHeight w:val="375" w:hRule="atLeast"/>
        </w:trPr>
        <w:tc>
          <w:tcPr>
            <w:tcW w:w="9356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center"/>
          </w:tcPr>
          <w:p w14:paraId="2E0ED97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涉案技术合同签订的证据</w:t>
            </w:r>
          </w:p>
        </w:tc>
      </w:tr>
      <w:tr w14:paraId="4540AC6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trHeight w:val="375" w:hRule="atLeast"/>
        </w:trPr>
        <w:tc>
          <w:tcPr>
            <w:tcW w:w="1018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F4C413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1-1</w:t>
            </w: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DFEBEC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0791A1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涉案技术合同</w:t>
            </w: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53397B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3E933ED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3DDE448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trHeight w:val="375" w:hRule="atLeast"/>
        </w:trPr>
        <w:tc>
          <w:tcPr>
            <w:tcW w:w="1018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35CF93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1-2</w:t>
            </w: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E9D760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B08845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补充协议</w:t>
            </w: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A40F94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44D33AB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1404F9F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trHeight w:val="375" w:hRule="atLeast"/>
        </w:trPr>
        <w:tc>
          <w:tcPr>
            <w:tcW w:w="9356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center"/>
          </w:tcPr>
          <w:p w14:paraId="15BC8FC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涉案技术合同履行证据</w:t>
            </w:r>
          </w:p>
        </w:tc>
      </w:tr>
      <w:tr w14:paraId="740E832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trHeight w:val="375" w:hRule="atLeast"/>
        </w:trPr>
        <w:tc>
          <w:tcPr>
            <w:tcW w:w="1018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9022E9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2-1</w:t>
            </w: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0A1F6B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23CDB3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技术的开发、交付的证据</w:t>
            </w: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4B4B22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7CA17B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3C707F5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trHeight w:val="375" w:hRule="atLeast"/>
        </w:trPr>
        <w:tc>
          <w:tcPr>
            <w:tcW w:w="1018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E18588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2-2</w:t>
            </w: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7A2983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B495F1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提供咨询、服务的证据</w:t>
            </w: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A7B4E2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470E64A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12B15FF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trHeight w:val="375" w:hRule="atLeast"/>
        </w:trPr>
        <w:tc>
          <w:tcPr>
            <w:tcW w:w="1018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DF1F78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2-1</w:t>
            </w: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4532C0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D337C2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收据、转账记录及发票</w:t>
            </w: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80AF94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3284081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3CAF151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trHeight w:val="375" w:hRule="atLeast"/>
        </w:trPr>
        <w:tc>
          <w:tcPr>
            <w:tcW w:w="9356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center"/>
          </w:tcPr>
          <w:p w14:paraId="3F638D6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责任承担证据</w:t>
            </w:r>
          </w:p>
        </w:tc>
      </w:tr>
      <w:tr w14:paraId="74BFBE4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trHeight w:val="375" w:hRule="atLeast"/>
        </w:trPr>
        <w:tc>
          <w:tcPr>
            <w:tcW w:w="1018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E8AFE0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3-1</w:t>
            </w: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D9E5D4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B9D635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被告违约证据</w:t>
            </w: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E12F17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1D7EDD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0020A63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trHeight w:val="375" w:hRule="atLeast"/>
        </w:trPr>
        <w:tc>
          <w:tcPr>
            <w:tcW w:w="1018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33E563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3-2</w:t>
            </w: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877A38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7019D9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合同解除后约定</w:t>
            </w: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C8E665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7187568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18FEB1F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trHeight w:val="375" w:hRule="atLeast"/>
        </w:trPr>
        <w:tc>
          <w:tcPr>
            <w:tcW w:w="1018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4A8497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3-3</w:t>
            </w: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3D460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97FEB0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损失的证据</w:t>
            </w: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63FFBD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1660CF1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6A6808F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trHeight w:val="375" w:hRule="atLeast"/>
        </w:trPr>
        <w:tc>
          <w:tcPr>
            <w:tcW w:w="9356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center"/>
          </w:tcPr>
          <w:p w14:paraId="3335EFD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4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其他证据</w:t>
            </w:r>
          </w:p>
        </w:tc>
      </w:tr>
      <w:tr w14:paraId="6942D86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trHeight w:val="372" w:hRule="atLeast"/>
        </w:trPr>
        <w:tc>
          <w:tcPr>
            <w:tcW w:w="1018" w:type="dxa"/>
            <w:tcBorders>
              <w:top w:val="single" w:color="231F20" w:sz="2" w:space="0"/>
              <w:right w:val="single" w:color="231F20" w:sz="2" w:space="0"/>
            </w:tcBorders>
            <w:vAlign w:val="center"/>
          </w:tcPr>
          <w:p w14:paraId="235D134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4-1</w:t>
            </w: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5FD09E7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3D38258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25680DC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</w:tcBorders>
            <w:vAlign w:val="center"/>
          </w:tcPr>
          <w:p w14:paraId="11DAA83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</w:tbl>
    <w:p w14:paraId="2FF395CE">
      <w:pPr>
        <w:pStyle w:val="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0"/>
        <w:ind w:left="0" w:right="0"/>
        <w:jc w:val="right"/>
        <w:textAlignment w:val="auto"/>
        <w:rPr>
          <w:rFonts w:hint="default" w:ascii="宋体" w:hAnsi="宋体" w:eastAsia="宋体" w:cs="宋体"/>
          <w:color w:val="231F20"/>
          <w:spacing w:val="1"/>
          <w:lang w:val="en-US" w:eastAsia="zh-CN"/>
        </w:rPr>
      </w:pPr>
      <w:r>
        <w:rPr>
          <w:rFonts w:hint="eastAsia" w:ascii="宋体" w:hAnsi="宋体" w:eastAsia="宋体" w:cs="宋体"/>
          <w:color w:val="231F20"/>
        </w:rPr>
        <w:t>提交人</w:t>
      </w:r>
      <w:r>
        <w:rPr>
          <w:rFonts w:hint="eastAsia" w:ascii="宋体" w:hAnsi="宋体" w:eastAsia="宋体" w:cs="宋体"/>
          <w:color w:val="231F20"/>
          <w:lang w:eastAsia="zh-CN"/>
        </w:rPr>
        <w:t>：</w:t>
      </w:r>
      <w:r>
        <w:rPr>
          <w:rFonts w:hint="eastAsia" w:ascii="宋体" w:hAnsi="宋体" w:eastAsia="宋体" w:cs="宋体"/>
          <w:color w:val="231F20"/>
          <w:lang w:val="en-US" w:eastAsia="zh-CN"/>
        </w:rPr>
        <w:t xml:space="preserve">                                         </w:t>
      </w:r>
    </w:p>
    <w:p w14:paraId="540828AB">
      <w:pPr>
        <w:pStyle w:val="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0"/>
        <w:ind w:left="0" w:right="0"/>
        <w:jc w:val="right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color w:val="231F20"/>
          <w:spacing w:val="-1"/>
        </w:rPr>
        <w:t>提交时间：</w:t>
      </w:r>
      <w:r>
        <w:rPr>
          <w:rFonts w:hint="eastAsia" w:ascii="宋体" w:hAnsi="宋体" w:eastAsia="宋体" w:cs="宋体"/>
          <w:color w:val="231F20"/>
          <w:spacing w:val="-1"/>
          <w:lang w:val="en-US" w:eastAsia="zh-CN"/>
        </w:rPr>
        <w:t xml:space="preserve">                                     </w:t>
      </w:r>
    </w:p>
    <w:sectPr>
      <w:pgSz w:w="11910" w:h="16840"/>
      <w:pgMar w:top="1420" w:right="1000" w:bottom="960" w:left="1020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7B6597">
    <w:pPr>
      <w:pStyle w:val="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22A6F9">
    <w:pPr>
      <w:pStyle w:val="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FADF1F"/>
    <w:multiLevelType w:val="singleLevel"/>
    <w:tmpl w:val="BFFADF1F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87" w:hanging="209"/>
        <w:jc w:val="left"/>
      </w:pPr>
      <w:rPr>
        <w:rFonts w:hint="default" w:ascii="PMingLiU" w:hAnsi="PMingLiU" w:eastAsia="PMingLiU" w:cs="PMingLiU"/>
        <w:color w:val="231F20"/>
        <w:w w:val="104"/>
        <w:sz w:val="21"/>
        <w:szCs w:val="21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778" w:hanging="209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1477" w:hanging="209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2176" w:hanging="209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2875" w:hanging="209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3574" w:hanging="209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4273" w:hanging="209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4972" w:hanging="209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5671" w:hanging="209"/>
      </w:pPr>
      <w:rPr>
        <w:rFonts w:hint="default"/>
        <w:lang w:val="en-US" w:eastAsia="zh-CN" w:bidi="ar-SA"/>
      </w:rPr>
    </w:lvl>
  </w:abstractNum>
  <w:abstractNum w:abstractNumId="2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707" w:hanging="209"/>
        <w:jc w:val="left"/>
      </w:pPr>
      <w:rPr>
        <w:rFonts w:hint="default" w:ascii="PMingLiU" w:hAnsi="PMingLiU" w:eastAsia="PMingLiU" w:cs="PMingLiU"/>
        <w:color w:val="231F20"/>
        <w:spacing w:val="-1"/>
        <w:w w:val="105"/>
        <w:sz w:val="21"/>
        <w:szCs w:val="21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1563" w:hanging="209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2427" w:hanging="209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3290" w:hanging="209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4154" w:hanging="209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5018" w:hanging="209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5881" w:hanging="209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6745" w:hanging="209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7608" w:hanging="209"/>
      </w:pPr>
      <w:rPr>
        <w:rFonts w:hint="default"/>
        <w:lang w:val="en-US" w:eastAsia="zh-CN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rsids>
    <w:rsidRoot w:val="00000000"/>
    <w:rsid w:val="22CD3F5B"/>
    <w:rsid w:val="339E9D00"/>
    <w:rsid w:val="37EED4BC"/>
    <w:rsid w:val="3BFF0A2A"/>
    <w:rsid w:val="41086E11"/>
    <w:rsid w:val="417A8A9F"/>
    <w:rsid w:val="5E101DC1"/>
    <w:rsid w:val="5E752FC8"/>
    <w:rsid w:val="5FFF2966"/>
    <w:rsid w:val="6A1242D2"/>
    <w:rsid w:val="6EFD1ACC"/>
    <w:rsid w:val="73EF56ED"/>
    <w:rsid w:val="7625383A"/>
    <w:rsid w:val="77FF9757"/>
    <w:rsid w:val="78BF708D"/>
    <w:rsid w:val="78D7F5A0"/>
    <w:rsid w:val="7BEB4019"/>
    <w:rsid w:val="7FDD5600"/>
    <w:rsid w:val="7FFB9827"/>
    <w:rsid w:val="7FFB9C5A"/>
    <w:rsid w:val="7FFFA016"/>
    <w:rsid w:val="B79B4D38"/>
    <w:rsid w:val="BBF732CF"/>
    <w:rsid w:val="BF7AFD99"/>
    <w:rsid w:val="BFBAFAF0"/>
    <w:rsid w:val="CBD6C2A0"/>
    <w:rsid w:val="DD77442F"/>
    <w:rsid w:val="DF3F34D0"/>
    <w:rsid w:val="EE798C85"/>
    <w:rsid w:val="EF6FDE4E"/>
    <w:rsid w:val="EFEDFAFE"/>
    <w:rsid w:val="FFDE39B5"/>
    <w:rsid w:val="FFF1DFFF"/>
    <w:rsid w:val="FFF643EC"/>
    <w:rsid w:val="FFFE72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paragraph" w:styleId="2">
    <w:name w:val="heading 1"/>
    <w:basedOn w:val="1"/>
    <w:qFormat/>
    <w:uiPriority w:val="1"/>
    <w:pPr>
      <w:ind w:left="381" w:right="11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0"/>
      <w:szCs w:val="30"/>
      <w:lang w:val="en-US" w:eastAsia="zh-CN" w:bidi="ar-SA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itle"/>
    <w:basedOn w:val="1"/>
    <w:qFormat/>
    <w:uiPriority w:val="1"/>
    <w:pPr>
      <w:spacing w:before="45"/>
      <w:ind w:left="381" w:right="682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rPr>
      <w:lang w:val="en-US" w:eastAsia="zh-CN" w:bidi="ar-SA"/>
    </w:r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2414</Words>
  <Characters>2475</Characters>
  <TotalTime>177</TotalTime>
  <ScaleCrop>false</ScaleCrop>
  <LinksUpToDate>false</LinksUpToDate>
  <CharactersWithSpaces>2699</CharactersWithSpaces>
  <Application>WPS Office WWO_wpscloud_20260317175928-9ee84d8996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2025-06-22T17:43:00Z</dcterms:created>
  <dc:creator>Administrator</dc:creator>
  <cp:lastModifiedBy>马妍彤</cp:lastModifiedBy>
  <dcterms:modified xsi:type="dcterms:W3CDTF">2026-05-11T10:53:31Z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2052-12.9.0.25403</vt:lpwstr>
  </property>
  <property fmtid="{D5CDD505-2E9C-101B-9397-08002B2CF9AE}" pid="4" name="ICV">
    <vt:lpwstr>55B99A85BF7A822EAB44016A0769623C_43</vt:lpwstr>
  </property>
  <property fmtid="{D5CDD505-2E9C-101B-9397-08002B2CF9AE}" pid="5" name="FachiWatermark">
    <vt:lpwstr>eyJjb21wYW55IjoiRmEgQ2hpIChHdWFuZ3pob3UpIFRlY2hub2xvZ3kgQ28uLCBMdGQiLCJ0aW1lc3RhbXAiOiIyMDI2LTA2LTA0IDA5OjU3OjIyIiwidXNlcklkIjoiY21lMjYzNDE5MDRraDNmZzM0djd1cXY1OSIsInZlcnNpb24iOiIxLjAifQ==</vt:lpwstr>
  </property>
</Properties>
</file>