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F8027F">
      <w:pPr>
        <w:pStyle w:val="3"/>
        <w:rPr>
          <w:rFonts w:hint="eastAsia" w:ascii="宋体" w:hAnsi="宋体" w:eastAsia="宋体" w:cs="宋体"/>
          <w:sz w:val="20"/>
        </w:rPr>
      </w:pPr>
    </w:p>
    <w:p w14:paraId="2ECDCB55">
      <w:pPr>
        <w:pStyle w:val="3"/>
        <w:spacing w:before="10"/>
        <w:rPr>
          <w:rFonts w:hint="eastAsia" w:ascii="宋体" w:hAnsi="宋体" w:eastAsia="宋体" w:cs="宋体"/>
          <w:sz w:val="24"/>
        </w:rPr>
      </w:pPr>
    </w:p>
    <w:p w14:paraId="564AED3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50"/>
        <w:ind w:left="0" w:right="0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民事起诉状</w:t>
      </w:r>
    </w:p>
    <w:p w14:paraId="298E1D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50"/>
        <w:ind w:left="0" w:right="0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（海上、通海水域货运代理合同纠纷）</w:t>
      </w:r>
    </w:p>
    <w:p w14:paraId="4B2223EF">
      <w:pPr>
        <w:pStyle w:val="3"/>
        <w:spacing w:before="5"/>
        <w:rPr>
          <w:rFonts w:hint="eastAsia" w:ascii="宋体" w:hAnsi="宋体" w:eastAsia="宋体" w:cs="宋体"/>
          <w:sz w:val="10"/>
        </w:rPr>
      </w:pPr>
    </w:p>
    <w:tbl>
      <w:tblPr>
        <w:tblStyle w:val="6"/>
        <w:tblW w:w="9615" w:type="dxa"/>
        <w:tblInd w:w="0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420"/>
        <w:gridCol w:w="7195"/>
      </w:tblGrid>
      <w:tr w14:paraId="1DB8BDA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tcBorders>
              <w:bottom w:val="single" w:color="231F20" w:sz="2" w:space="0"/>
            </w:tcBorders>
            <w:vAlign w:val="top"/>
          </w:tcPr>
          <w:p w14:paraId="73AEA4E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说明：</w:t>
            </w:r>
          </w:p>
          <w:p w14:paraId="3C3BD7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394059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72D22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53C2C4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 本表有些内容可能与您的案件无关，您认为与案件无关的项目可以填“无”或不填；对于本 </w:t>
            </w:r>
          </w:p>
          <w:p w14:paraId="7372B8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表中勾选项可以在对应项打“√”；您认为另有重要内容需要列明的，可以另附页填写。</w:t>
            </w:r>
          </w:p>
          <w:p w14:paraId="32A06B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15D25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55234B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7194971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 ，虚假诉讼 、恶意诉讼 、滥用诉权 ，人民法院将视违法情形依法追究责任。</w:t>
            </w:r>
          </w:p>
        </w:tc>
      </w:tr>
      <w:tr w14:paraId="66DE8E9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20F5B77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当事人信息</w:t>
            </w:r>
          </w:p>
        </w:tc>
      </w:tr>
      <w:tr w14:paraId="5A36704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8D84D6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原告</w:t>
            </w:r>
          </w:p>
          <w:p w14:paraId="47F48D0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95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4AB75B9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CC9F40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49F8E002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292"/>
                <w:tab w:val="left" w:pos="2922"/>
                <w:tab w:val="left" w:pos="3552"/>
                <w:tab w:val="left" w:pos="439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 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3A423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A75879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8EC3F0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DF59F4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469263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573551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C273E0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原告</w:t>
            </w:r>
          </w:p>
          <w:p w14:paraId="466407B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195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6823E26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8B320B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  <w:szCs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  <w:t xml:space="preserve"> </w:t>
            </w:r>
          </w:p>
          <mc:AlternateContent>
            <mc:Choice Requires="wpsCustomData"/>
          </mc:AlternateContent>
          <w:p w14:paraId="7572EA9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C6D8C70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联系电话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70536CA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2B65B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类型：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7A357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592E3D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7314AB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112616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41551D36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973"/>
                <w:tab w:val="left" w:pos="4758"/>
                <w:tab w:val="left" w:pos="622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1"/>
                <w:w w:val="10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</w:tc>
      </w:tr>
      <w:tr w14:paraId="07FC8C1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FED642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原告</w:t>
            </w:r>
          </w:p>
          <w:p w14:paraId="0D852C8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195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7850016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外资情况：有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4940D4F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     中外合资经营企业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中外合作经营企业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70F7D02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     外商独资企业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其他形式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</w:t>
            </w:r>
          </w:p>
          <w:p w14:paraId="001235B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     无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12F3C68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1281878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委托诉讼代理人</w:t>
            </w:r>
          </w:p>
        </w:tc>
        <w:tc>
          <w:tcPr>
            <w:tcW w:w="7195" w:type="dxa"/>
            <w:vAlign w:val="top"/>
          </w:tcPr>
          <w:p w14:paraId="4C972F4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494EA1A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871EF2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3287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08D8B1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ab/>
            </w:r>
            <mc:AlternateContent>
              <mc:Choice Requires="wpsCustomData"/>
            </mc:AlternateContent>
          </w:p>
          <w:p w14:paraId="6ACD333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C7EBBD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331CA6B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37EF892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95" w:type="dxa"/>
            <w:vAlign w:val="top"/>
          </w:tcPr>
          <w:p w14:paraId="1618D94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6FB74DB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225C6FCD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292"/>
                <w:tab w:val="left" w:pos="2922"/>
                <w:tab w:val="left" w:pos="3552"/>
                <w:tab w:val="left" w:pos="439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 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CA08F9F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292"/>
                <w:tab w:val="left" w:pos="439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联系电话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  <w:szCs w:val="21"/>
              </w:rPr>
              <w:t xml:space="preserve"> </w:t>
            </w:r>
          </w:p>
          <mc:AlternateContent>
            <mc:Choice Requires="wpsCustomData"/>
          </mc:AlternateContent>
          <w:p w14:paraId="7B84B8B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292"/>
                <w:tab w:val="left" w:pos="439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0E0BCC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经常居住地：</w:t>
            </w:r>
            <mc:AlternateContent>
              <mc:Choice Requires="wpsCustomData"/>
            </mc:AlternateContent>
            <w:bookmarkStart w:id="0" w:name="_GoBack"/>
            <mc:AlternateContent>
              <mc:Choice Requires="wpsCustomData"/>
            </mc:AlternateContent>
          </w:p>
          <w:bookmarkEnd w:id="0"/>
          <w:p w14:paraId="11C7E4E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5CB75B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824C92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0A0EB7A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15CF82D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195" w:type="dxa"/>
            <w:vAlign w:val="top"/>
          </w:tcPr>
          <w:p w14:paraId="74DB99D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A69DB1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  <w:szCs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  <w:t xml:space="preserve">：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E3D008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DC90764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联系电话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66BC6E3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6B3ED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类型：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45DF8A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09F5AE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5EDFE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42069F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6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29834B4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1"/>
                <w:w w:val="10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</w:t>
            </w:r>
          </w:p>
          <w:p w14:paraId="1E8BEF6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外资情况：有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216BBD8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     中外合资经营企业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中外合作经营企业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26448FB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     外商独资企业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其他形式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</w:t>
            </w:r>
          </w:p>
          <w:p w14:paraId="4D4F267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     无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538ED3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0370F4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D8F977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95" w:type="dxa"/>
            <w:vAlign w:val="top"/>
          </w:tcPr>
          <w:p w14:paraId="1642E5C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DBE594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371B0EF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  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E1ADBA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9DFDAA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ED777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141216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证件类型：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9D9D3F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" w:bidi="ar-SA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F06FDF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147C3A7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E18CCA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195" w:type="dxa"/>
            <w:vAlign w:val="top"/>
          </w:tcPr>
          <w:p w14:paraId="7612298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49C6BA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  <w:szCs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szCs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  <w:t xml:space="preserve"> </w:t>
            </w:r>
          </w:p>
          <mc:AlternateContent>
            <mc:Choice Requires="wpsCustomData"/>
          </mc:AlternateContent>
          <w:p w14:paraId="2C04E99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>注册地 / 登记地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szCs w:val="2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60784AF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联系电话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CBC7E68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A9A42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4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类型：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1F96A2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4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725E2E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4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2824E8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4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CF15A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spacing w:line="34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21A18C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1"/>
                <w:w w:val="10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w w:val="105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</w:t>
            </w:r>
          </w:p>
          <w:p w14:paraId="734B408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外资情况：有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4011324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     中外合资经营企业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中外合作经营企业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14825E5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     外商独资企业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其他形式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u w:val="single" w:color="231F20"/>
                <w:lang w:val="en-US" w:eastAsia="zh-CN"/>
              </w:rPr>
              <w:t xml:space="preserve">   </w:t>
            </w:r>
          </w:p>
          <w:p w14:paraId="0BF7858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     无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EC2745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vAlign w:val="top"/>
          </w:tcPr>
          <w:p w14:paraId="1C24E6A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7C85034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417" w:hRule="atLeast"/>
        </w:trPr>
        <w:tc>
          <w:tcPr>
            <w:tcW w:w="9615" w:type="dxa"/>
            <w:gridSpan w:val="2"/>
            <w:vAlign w:val="top"/>
          </w:tcPr>
          <w:p w14:paraId="23456DD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44DDFD2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2F961A3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482D7F0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mc:AlternateContent>
            <mc:Choice Requires="wpsCustomData"/>
          </mc:AlternateContent>
          <w:p w14:paraId="57999ED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</w:tc>
      </w:tr>
      <w:tr w14:paraId="0F5ADF6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4311767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2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hd w:val="clear" w:color="auto" w:fill="auto"/>
              </w:rPr>
              <w:t>费用类型及金额</w:t>
            </w:r>
          </w:p>
        </w:tc>
        <w:tc>
          <w:tcPr>
            <w:tcW w:w="7195" w:type="dxa"/>
            <w:vAlign w:val="top"/>
          </w:tcPr>
          <w:p w14:paraId="390CE41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  <w:t>海运费    元（人民币，下同；如外币需特别注明）</w:t>
            </w:r>
          </w:p>
          <w:p w14:paraId="7BBAC86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  <w:t>拖车费    元、报关费    元、其他费用或报酬    元</w:t>
            </w:r>
            <mc:AlternateContent>
              <mc:Choice Requires="wpsCustomData"/>
            </mc:AlternateContent>
          </w:p>
        </w:tc>
      </w:tr>
      <w:tr w14:paraId="668DA8C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6AD4AB9A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2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hd w:val="clear" w:color="auto" w:fill="auto"/>
              </w:rPr>
              <w:t>是否主张逾期付款利息损失</w:t>
            </w:r>
          </w:p>
        </w:tc>
        <w:tc>
          <w:tcPr>
            <w:tcW w:w="7195" w:type="dxa"/>
            <w:vAlign w:val="top"/>
          </w:tcPr>
          <w:p w14:paraId="5CDD135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  费用本金：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  截至 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年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月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日止，欠利息   元；</w:t>
            </w:r>
          </w:p>
          <mc:AlternateContent>
            <mc:Choice Requires="wpsCustomData"/>
          </mc:AlternateContent>
          <w:p w14:paraId="413AADF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计算方式：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E6C8BB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是否请求支付至实际清偿之日止：是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2BCED8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42C5C73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2A7A5934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  <w:shd w:val="clear" w:color="auto" w:fill="auto"/>
              </w:rPr>
              <w:t>是否主张实现债权的费用</w:t>
            </w:r>
          </w:p>
        </w:tc>
        <w:tc>
          <w:tcPr>
            <w:tcW w:w="7195" w:type="dxa"/>
            <w:vAlign w:val="top"/>
          </w:tcPr>
          <w:p w14:paraId="0EF2B47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费用明细：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AA227F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0831FA4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0395C218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lang w:val="en-US" w:eastAsia="zh-CN" w:bidi="ar-SA"/>
              </w:rPr>
              <w:t>是否主张诉讼费用</w:t>
            </w:r>
          </w:p>
        </w:tc>
        <w:tc>
          <w:tcPr>
            <w:tcW w:w="7195" w:type="dxa"/>
            <w:vAlign w:val="top"/>
          </w:tcPr>
          <w:p w14:paraId="6942CC1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2BB2F18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0EB6572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B321CB3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pacing w:val="6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6"/>
                <w:sz w:val="21"/>
                <w:szCs w:val="21"/>
              </w:rPr>
              <w:t>其他请求</w:t>
            </w:r>
          </w:p>
        </w:tc>
        <w:tc>
          <w:tcPr>
            <w:tcW w:w="7195" w:type="dxa"/>
            <w:vAlign w:val="top"/>
          </w:tcPr>
          <w:p w14:paraId="6165EF8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 内容：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63E3F7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2052B9F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A9C2AB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6.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标的总额</w:t>
            </w:r>
          </w:p>
        </w:tc>
        <w:tc>
          <w:tcPr>
            <w:tcW w:w="7195" w:type="dxa"/>
            <w:vAlign w:val="top"/>
          </w:tcPr>
          <w:p w14:paraId="4239A6A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"/>
                <w:woUserID w:val="1"/>
              </w:rPr>
              <w:t xml:space="preserve"> 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>元（暂计至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"/>
                <w:woUserID w:val="1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> 年  月  日</w:t>
            </w: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>）</w:t>
            </w:r>
          </w:p>
        </w:tc>
      </w:tr>
      <w:tr w14:paraId="3CB44B8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vAlign w:val="top"/>
          </w:tcPr>
          <w:p w14:paraId="32EDF8C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约定管辖和诉前保全</w:t>
            </w:r>
          </w:p>
        </w:tc>
      </w:tr>
      <w:tr w14:paraId="1E060A5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17B47F2C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有无仲裁、法院管辖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约定</w:t>
            </w:r>
          </w:p>
        </w:tc>
        <w:tc>
          <w:tcPr>
            <w:tcW w:w="7195" w:type="dxa"/>
            <w:vAlign w:val="top"/>
          </w:tcPr>
          <w:p w14:paraId="0F98C2F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合同条款及内容：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3C9FA1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1EA079B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0D56EE45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是否已经诉前保全</w:t>
            </w:r>
          </w:p>
        </w:tc>
        <w:tc>
          <w:tcPr>
            <w:tcW w:w="7195" w:type="dxa"/>
            <w:vAlign w:val="top"/>
          </w:tcPr>
          <w:p w14:paraId="14EA8F75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717"/>
                <w:tab w:val="left" w:pos="250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hanging="63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是□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szCs w:val="21"/>
                <w:lang w:val="en-US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"/>
                <w:woUserID w:val="1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保全法院：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eastAsia="zh"/>
                <w:woUserID w:val="1"/>
              </w:rPr>
              <w:t xml:space="preserve">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szCs w:val="21"/>
              </w:rPr>
              <w:t>保全时间：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  <w:szCs w:val="21"/>
              </w:rPr>
              <w:t xml:space="preserve"> </w:t>
            </w:r>
          </w:p>
          <mc:AlternateContent>
            <mc:Choice Requires="wpsCustomData"/>
          </mc:AlternateContent>
          <w:p w14:paraId="65643887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717"/>
                <w:tab w:val="left" w:pos="250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firstLine="840" w:firstLineChars="40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保全案号：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DA45C0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12AD801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（如申请诉讼保全，请另行提交诉讼保全申请及相关材料）</w:t>
            </w:r>
          </w:p>
        </w:tc>
      </w:tr>
      <w:tr w14:paraId="34CBBA3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vAlign w:val="top"/>
          </w:tcPr>
          <w:p w14:paraId="1C88A06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涉外及涉港澳台</w:t>
            </w:r>
          </w:p>
        </w:tc>
      </w:tr>
      <w:tr w14:paraId="6DE135E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54AA1ADD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. 是否涉外</w:t>
            </w:r>
          </w:p>
        </w:tc>
        <w:tc>
          <w:tcPr>
            <w:tcW w:w="7195" w:type="dxa"/>
            <w:vAlign w:val="top"/>
          </w:tcPr>
          <w:p w14:paraId="1DE51D0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涉及国家：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49F379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65D28B8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53B625C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. 是否涉港澳台</w:t>
            </w:r>
          </w:p>
        </w:tc>
        <w:tc>
          <w:tcPr>
            <w:tcW w:w="7195" w:type="dxa"/>
            <w:vAlign w:val="top"/>
          </w:tcPr>
          <w:p w14:paraId="2BB6777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涉港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涉澳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宋体" w:hAnsi="宋体" w:eastAsia="宋体" w:cs="宋体"/>
                <w:color w:val="231F2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涉台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6A17F4D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7243CB4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vAlign w:val="top"/>
          </w:tcPr>
          <w:p w14:paraId="3533450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事实与理由</w:t>
            </w:r>
          </w:p>
        </w:tc>
      </w:tr>
      <w:tr w14:paraId="36D2DA3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559" w:hRule="atLeast"/>
        </w:trPr>
        <w:tc>
          <w:tcPr>
            <w:tcW w:w="9615" w:type="dxa"/>
            <w:gridSpan w:val="2"/>
            <w:vAlign w:val="top"/>
          </w:tcPr>
          <w:p w14:paraId="0D529D3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（可完整表述纠纷涉及的事实与理由；为方便、准确梳理要点，相关内容请在下方要素式表格中填写）</w:t>
            </w:r>
          </w:p>
          <w:p w14:paraId="36E4F5F6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75237AB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7EADAE1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mc:AlternateContent>
            <mc:Choice Requires="wpsCustomData"/>
          </mc:AlternateContent>
          <w:p w14:paraId="74F6DDF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</w:tc>
      </w:tr>
      <w:tr w14:paraId="2308E2D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7D55AFE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1. 请求依据</w:t>
            </w:r>
          </w:p>
        </w:tc>
        <w:tc>
          <w:tcPr>
            <w:tcW w:w="7195" w:type="dxa"/>
            <w:vAlign w:val="top"/>
          </w:tcPr>
          <w:p w14:paraId="2651FE34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合同约定：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694800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法律规定：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7E8C01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1BF7C607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val="en-US"/>
              </w:rPr>
              <w:t xml:space="preserve">.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合同签订情况</w:t>
            </w:r>
          </w:p>
        </w:tc>
        <w:tc>
          <w:tcPr>
            <w:tcW w:w="7195" w:type="dxa"/>
            <w:vAlign w:val="top"/>
          </w:tcPr>
          <w:p w14:paraId="3B6CFB79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1977"/>
                <w:tab w:val="left" w:pos="28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szCs w:val="21"/>
              </w:rPr>
              <w:t>（名称、编号、签订时间、地点等）</w:t>
            </w:r>
            <mc:AlternateContent>
              <mc:Choice Requires="wpsCustomData"/>
            </mc:AlternateContent>
          </w:p>
        </w:tc>
      </w:tr>
      <w:tr w14:paraId="7A9638A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374C249D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val="en-US"/>
              </w:rPr>
              <w:t>. 签订主体</w:t>
            </w:r>
          </w:p>
        </w:tc>
        <w:tc>
          <w:tcPr>
            <w:tcW w:w="7195" w:type="dxa"/>
            <w:vAlign w:val="top"/>
          </w:tcPr>
          <w:p w14:paraId="602CEA9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委托人：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EE0D80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受托人：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5D280F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73E1D1CD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val="en-US"/>
              </w:rPr>
              <w:t xml:space="preserve">.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有关费用情况</w:t>
            </w:r>
          </w:p>
        </w:tc>
        <w:tc>
          <w:tcPr>
            <w:tcW w:w="7195" w:type="dxa"/>
            <w:vAlign w:val="top"/>
          </w:tcPr>
          <w:p w14:paraId="6058614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约定应收金额：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  </w:t>
            </w:r>
          </w:p>
          <mc:AlternateContent>
            <mc:Choice Requires="wpsCustomData"/>
          </mc:AlternateContent>
          <w:p w14:paraId="3767B57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" w:bidi="ar-SA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实际收到金额：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46BCDF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4AB934D0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  <w:t>5. 付款期限</w:t>
            </w:r>
          </w:p>
        </w:tc>
        <w:tc>
          <w:tcPr>
            <w:tcW w:w="7195" w:type="dxa"/>
            <w:vAlign w:val="top"/>
          </w:tcPr>
          <w:p w14:paraId="50A9DB8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是否到期：是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□</w:t>
            </w:r>
            <mc:AlternateContent>
              <mc:Choice Requires="wpsCustomData"/>
            </mc:AlternateContent>
          </w:p>
          <w:p w14:paraId="2FBEA099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约定付款期限：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  <w:t>  年  月  日</w:t>
            </w:r>
            <mc:AlternateContent>
              <mc:Choice Requires="wpsCustomData"/>
            </mc:AlternateContent>
          </w:p>
        </w:tc>
      </w:tr>
      <w:tr w14:paraId="06E3D16C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6FE42098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>6. 委托事项内容</w:t>
            </w:r>
          </w:p>
        </w:tc>
        <w:tc>
          <w:tcPr>
            <w:tcW w:w="7195" w:type="dxa"/>
            <w:vAlign w:val="top"/>
          </w:tcPr>
          <w:p w14:paraId="375653B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>订舱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>拖车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>报关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>□</w:t>
            </w:r>
            <mc:AlternateContent>
              <mc:Choice Requires="wpsCustomData"/>
            </mc:AlternateContent>
          </w:p>
          <w:p w14:paraId="47391E1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5"/>
                <w:sz w:val="21"/>
                <w:szCs w:val="21"/>
                <w:lang w:val="en-US"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>其他事项：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val="en-US"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44C52D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5C944150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>7. 委托事项完成情况</w:t>
            </w:r>
          </w:p>
        </w:tc>
        <w:tc>
          <w:tcPr>
            <w:tcW w:w="7195" w:type="dxa"/>
            <w:vAlign w:val="top"/>
          </w:tcPr>
          <w:p w14:paraId="34ABEBC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已完成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731D728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未完成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原因：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F0A585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2247C36B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>是否完成费用对账</w:t>
            </w:r>
          </w:p>
        </w:tc>
        <w:tc>
          <w:tcPr>
            <w:tcW w:w="7195" w:type="dxa"/>
            <w:vAlign w:val="top"/>
          </w:tcPr>
          <w:p w14:paraId="64A5B185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已完成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1B4DDBD3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未完成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原因：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BA23D8D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7068C0EE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>9. 是否已开具费用发票</w:t>
            </w:r>
          </w:p>
        </w:tc>
        <w:tc>
          <w:tcPr>
            <w:tcW w:w="7195" w:type="dxa"/>
            <w:vAlign w:val="top"/>
          </w:tcPr>
          <w:p w14:paraId="7D550951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 否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2A025C3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0F5BC7DA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>10. 其他需要说明的内容（可另附页）</w:t>
            </w:r>
          </w:p>
        </w:tc>
        <w:tc>
          <w:tcPr>
            <w:tcW w:w="7195" w:type="dxa"/>
            <w:vAlign w:val="top"/>
          </w:tcPr>
          <w:p w14:paraId="58D1FFF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375B8F87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7CEDA716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>11. 证据清单（可另附页）</w:t>
            </w:r>
          </w:p>
        </w:tc>
        <w:tc>
          <w:tcPr>
            <w:tcW w:w="7195" w:type="dxa"/>
            <w:vAlign w:val="top"/>
          </w:tcPr>
          <w:p w14:paraId="5682773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szCs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92FB9D8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15" w:type="dxa"/>
            <w:gridSpan w:val="2"/>
            <w:vAlign w:val="top"/>
          </w:tcPr>
          <w:p w14:paraId="280F2FF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pacing w:val="-15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对纠纷解决方式的意愿</w:t>
            </w:r>
          </w:p>
        </w:tc>
      </w:tr>
      <w:tr w14:paraId="1404153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top"/>
          </w:tcPr>
          <w:p w14:paraId="7DD2A93F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是否了解调解作为非诉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25"/>
                <w:sz w:val="21"/>
                <w:szCs w:val="21"/>
              </w:rPr>
              <w:t>讼纠纷解决方式，能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7"/>
                <w:sz w:val="21"/>
                <w:szCs w:val="21"/>
              </w:rPr>
              <w:t>及时、高效、低成本、</w:t>
            </w:r>
          </w:p>
          <w:p w14:paraId="1CDE5C1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不伤和气地解决纠纷</w:t>
            </w:r>
          </w:p>
        </w:tc>
        <w:tc>
          <w:tcPr>
            <w:tcW w:w="7195" w:type="dxa"/>
            <w:vAlign w:val="center"/>
          </w:tcPr>
          <w:p w14:paraId="6A07BA4C">
            <w:pPr>
              <w:pStyle w:val="10"/>
              <w:keepNext w:val="0"/>
              <w:keepLines w:val="0"/>
              <w:pageBreakBefore w:val="0"/>
              <w:widowControl w:val="0"/>
              <w:tabs>
                <w:tab w:val="left" w:pos="92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  <w:lang w:eastAsia="zh"/>
                <w:woUserID w:val="1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</w:tc>
      </w:tr>
      <w:tr w14:paraId="600A777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center"/>
          </w:tcPr>
          <w:p w14:paraId="0819E4C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23"/>
                <w:sz w:val="21"/>
                <w:szCs w:val="21"/>
              </w:rPr>
              <w:t>是否了解先行调解解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决纠纷的好处</w:t>
            </w:r>
          </w:p>
        </w:tc>
        <w:tc>
          <w:tcPr>
            <w:tcW w:w="7195" w:type="dxa"/>
            <w:vAlign w:val="top"/>
          </w:tcPr>
          <w:p w14:paraId="118B43E5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04"/>
                <w:sz w:val="21"/>
                <w:szCs w:val="21"/>
                <w:lang w:val="en-US" w:eastAsia="zh-CN" w:bidi="ar-SA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立案后选择先行调解的，可以很快启动调解程序。如不同意调解，法院将依程序开庭审理案件，但可能需要经过较长一段时间的排期等待，且审理、执行周期相对较长。</w:t>
            </w:r>
          </w:p>
          <w:p w14:paraId="1F0AF36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62701FE6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04"/>
                <w:sz w:val="21"/>
                <w:szCs w:val="21"/>
                <w:lang w:val="en-US" w:eastAsia="zh-CN" w:bidi="ar-SA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选择先行调解，调解成功且自动履行的免交诉讼费用，申请司法确认的不交纳诉讼费用，要求出具调解书的减半交纳诉讼费用。</w:t>
            </w:r>
          </w:p>
          <w:p w14:paraId="49A5CA5B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17A8AB81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04"/>
                <w:sz w:val="21"/>
                <w:szCs w:val="21"/>
                <w:lang w:val="en-US" w:eastAsia="zh-CN" w:bidi="ar-SA"/>
              </w:rPr>
              <w:t>3.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首次调解不成功，但仍有继续调解意愿的，可以选择更换调解组织和调解员再进行调解。调解无法达成一致意见的，法院将依程序排期开庭。</w:t>
            </w:r>
          </w:p>
          <w:p w14:paraId="117073A8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1B368F29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4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04"/>
                <w:sz w:val="21"/>
                <w:szCs w:val="21"/>
                <w:lang w:val="en-US" w:eastAsia="zh-CN" w:bidi="ar-SA"/>
              </w:rPr>
              <w:t>4.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依照法律规定，调解具有保密性要求，调解过程不公开，调解协议未经当事人同意不得公开。</w:t>
            </w:r>
          </w:p>
          <w:p w14:paraId="006338EA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</w:rPr>
              <w:t>□</w:t>
            </w:r>
            <mc:AlternateContent>
              <mc:Choice Requires="wpsCustomData"/>
            </mc:AlternateContent>
          </w:p>
          <w:p w14:paraId="5F2E9285">
            <w:pPr>
              <w:pStyle w:val="10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96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6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w w:val="104"/>
                <w:sz w:val="21"/>
                <w:szCs w:val="21"/>
                <w:lang w:val="en-US" w:eastAsia="zh-CN" w:bidi="ar-SA"/>
              </w:rPr>
              <w:t>5.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调解达成的协议具有法律效力，可以依照法律规定申请司法确认，具有强制执行效力。</w:t>
            </w:r>
          </w:p>
          <w:p w14:paraId="14FCFB5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4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 xml:space="preserve">  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3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w:tr w14:paraId="5ADF5E7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420" w:type="dxa"/>
            <w:vAlign w:val="top"/>
          </w:tcPr>
          <w:p w14:paraId="6C7078B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</w:p>
          <w:p w14:paraId="11DC78B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是否考虑先行调解</w:t>
            </w:r>
          </w:p>
        </w:tc>
        <w:tc>
          <w:tcPr>
            <w:tcW w:w="7195" w:type="dxa"/>
            <w:vAlign w:val="top"/>
          </w:tcPr>
          <w:p w14:paraId="102273AC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</w:p>
          <w:p w14:paraId="10C690F7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>□</w:t>
            </w:r>
            <mc:AlternateContent>
              <mc:Choice Requires="wpsCustomData"/>
            </mc:AlternateContent>
          </w:p>
          <w:p w14:paraId="06C21BA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</w:tbl>
    <w:p w14:paraId="56C189E7">
      <w:pPr>
        <w:pStyle w:val="3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60" w:line="240" w:lineRule="auto"/>
        <w:ind w:left="0" w:right="0"/>
        <w:jc w:val="center"/>
        <w:textAlignment w:val="auto"/>
        <w:rPr>
          <w:rFonts w:hint="eastAsia" w:ascii="宋体" w:hAnsi="宋体" w:eastAsia="宋体" w:cs="宋体"/>
          <w:color w:val="231F20"/>
          <w:spacing w:val="-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lang w:eastAsia="zh"/>
          <w:woUserID w:val="1"/>
        </w:rPr>
        <w:t xml:space="preserve">                                                                           </w:t>
      </w:r>
      <w:r>
        <w:rPr>
          <w:rFonts w:hint="eastAsia" w:asciiTheme="minorEastAsia" w:hAnsiTheme="minorEastAsia" w:eastAsiaTheme="minorEastAsia" w:cstheme="minorEastAsia"/>
          <w:b/>
          <w:bCs/>
          <w:color w:val="231F20"/>
        </w:rPr>
        <w:t>具状人（签字、盖章</w:t>
      </w:r>
      <w:r>
        <w:rPr>
          <w:rFonts w:hint="eastAsia" w:asciiTheme="minorEastAsia" w:hAnsiTheme="minorEastAsia" w:eastAsiaTheme="minorEastAsia" w:cstheme="minorEastAsia"/>
          <w:b/>
          <w:bCs/>
          <w:color w:val="231F20"/>
          <w:spacing w:val="-66"/>
        </w:rPr>
        <w:t>）：</w:t>
      </w:r>
      <w:r>
        <w:rPr>
          <w:rFonts w:hint="eastAsia" w:asciiTheme="minorEastAsia" w:hAnsiTheme="minorEastAsia" w:eastAsiaTheme="minorEastAsia" w:cstheme="minorEastAsia"/>
          <w:b/>
          <w:bCs/>
          <w:color w:val="231F20"/>
          <w:lang w:eastAsia="zh"/>
          <w:woUserID w:val="1"/>
        </w:rPr>
        <w:t xml:space="preserve">                                             </w:t>
      </w:r>
      <w:r>
        <w:rPr>
          <w:rFonts w:hint="eastAsia" w:asciiTheme="minorEastAsia" w:hAnsiTheme="minorEastAsia" w:eastAsiaTheme="minorEastAsia" w:cstheme="minorEastAsia"/>
          <w:b/>
          <w:bCs/>
          <w:color w:val="231F20"/>
        </w:rPr>
        <w:t>日期：</w:t>
      </w:r>
    </w:p>
    <w:p w14:paraId="4F15C094">
      <w:pPr>
        <w:pStyle w:val="3"/>
        <w:wordWrap/>
        <w:spacing w:before="0"/>
        <w:ind w:left="0" w:right="0"/>
        <w:jc w:val="left"/>
        <w:rPr>
          <w:rFonts w:hint="default" w:ascii="宋体" w:hAnsi="宋体" w:eastAsia="宋体" w:cs="宋体"/>
          <w:color w:val="231F20"/>
          <w:spacing w:val="-1"/>
          <w:sz w:val="21"/>
          <w:szCs w:val="21"/>
          <w:lang w:val="en-US" w:eastAsia="zh-CN"/>
        </w:rPr>
      </w:pPr>
    </w:p>
    <w:p w14:paraId="6B3C6D5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360" w:lineRule="exact"/>
        <w:ind w:right="0" w:firstLine="416" w:firstLineChars="200"/>
        <w:jc w:val="left"/>
        <w:textAlignment w:val="auto"/>
        <w:rPr>
          <w:rFonts w:hint="default" w:ascii="宋体" w:hAnsi="宋体" w:eastAsia="宋体" w:cs="宋体"/>
          <w:color w:val="231F20"/>
          <w:spacing w:val="-1"/>
          <w:sz w:val="21"/>
          <w:szCs w:val="21"/>
          <w:lang w:val="en-US" w:eastAsia="zh-CN"/>
        </w:rPr>
      </w:pPr>
    </w:p>
    <w:sectPr>
      <w:footerReference r:id="rId5" w:type="default"/>
      <w:footerReference r:id="rId6" w:type="even"/>
      <w:pgSz w:w="11910" w:h="16840"/>
      <w:pgMar w:top="907" w:right="1389" w:bottom="907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150FE8">
    <w:pPr>
      <w:pStyle w:val="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87609F">
    <w:pPr>
      <w:pStyle w:val="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FAE8CF"/>
    <w:multiLevelType w:val="singleLevel"/>
    <w:tmpl w:val="C5FAE8CF"/>
    <w:lvl w:ilvl="0" w:tentative="0">
      <w:start w:val="1"/>
      <w:numFmt w:val="decimal"/>
      <w:suff w:val="space"/>
      <w:lvlText w:val="%1."/>
      <w:lvlJc w:val="left"/>
      <w:rPr>
        <w:rFonts w:hint="default" w:asciiTheme="minorEastAsia" w:hAnsiTheme="minorEastAsia" w:eastAsiaTheme="minorEastAsia" w:cstheme="minorEastAsia"/>
      </w:rPr>
    </w:lvl>
  </w:abstractNum>
  <w:abstractNum w:abstractNumId="1">
    <w:nsid w:val="DDD50E5D"/>
    <w:multiLevelType w:val="singleLevel"/>
    <w:tmpl w:val="DDD50E5D"/>
    <w:lvl w:ilvl="0" w:tentative="0">
      <w:start w:val="1"/>
      <w:numFmt w:val="decimal"/>
      <w:suff w:val="space"/>
      <w:lvlText w:val="%1."/>
      <w:lvlJc w:val="left"/>
      <w:rPr>
        <w:rFonts w:hint="default" w:asciiTheme="minorEastAsia" w:hAnsiTheme="minorEastAsia" w:eastAsiaTheme="minorEastAsia" w:cstheme="minorEastAsia"/>
      </w:rPr>
    </w:lvl>
  </w:abstractNum>
  <w:abstractNum w:abstractNumId="2">
    <w:nsid w:val="79CF2CF5"/>
    <w:multiLevelType w:val="singleLevel"/>
    <w:tmpl w:val="79CF2CF5"/>
    <w:lvl w:ilvl="0" w:tentative="0">
      <w:start w:val="8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evenAndOddHeaders w:val="1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4D030F6"/>
    <w:rsid w:val="0B0632D8"/>
    <w:rsid w:val="0F810AB2"/>
    <w:rsid w:val="1378753C"/>
    <w:rsid w:val="17A0154D"/>
    <w:rsid w:val="1DFC322F"/>
    <w:rsid w:val="1FBA852E"/>
    <w:rsid w:val="200E4AAA"/>
    <w:rsid w:val="2F4F9F56"/>
    <w:rsid w:val="35826AA6"/>
    <w:rsid w:val="3F77AC83"/>
    <w:rsid w:val="46B22181"/>
    <w:rsid w:val="4F0C617C"/>
    <w:rsid w:val="557F19C6"/>
    <w:rsid w:val="638B3D3D"/>
    <w:rsid w:val="680B1697"/>
    <w:rsid w:val="6BF62832"/>
    <w:rsid w:val="6ECF0D2A"/>
    <w:rsid w:val="6F7FA7C0"/>
    <w:rsid w:val="717F0E5E"/>
    <w:rsid w:val="77FBC92C"/>
    <w:rsid w:val="7ADF3DE0"/>
    <w:rsid w:val="7BFFE613"/>
    <w:rsid w:val="7FA33B9F"/>
    <w:rsid w:val="7FFF3418"/>
    <w:rsid w:val="7FFF70D0"/>
    <w:rsid w:val="B86E2E12"/>
    <w:rsid w:val="BFAF2FE5"/>
    <w:rsid w:val="BFBE653D"/>
    <w:rsid w:val="D3F8BE21"/>
    <w:rsid w:val="D437D153"/>
    <w:rsid w:val="E7CFFC24"/>
    <w:rsid w:val="EDBF4D21"/>
    <w:rsid w:val="EF72EBEF"/>
    <w:rsid w:val="EFF7D366"/>
    <w:rsid w:val="F3FF3894"/>
    <w:rsid w:val="F6D91D74"/>
    <w:rsid w:val="FAFF5DC7"/>
    <w:rsid w:val="FB97F138"/>
    <w:rsid w:val="FD6D5931"/>
    <w:rsid w:val="FFAB8B46"/>
    <w:rsid w:val="FFE60E8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paragraph" w:styleId="2">
    <w:name w:val="heading 1"/>
    <w:basedOn w:val="1"/>
    <w:qFormat/>
    <w:uiPriority w:val="1"/>
    <w:pPr>
      <w:ind w:left="381" w:right="11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0"/>
      <w:szCs w:val="30"/>
      <w:lang w:val="en-US" w:eastAsia="zh-CN" w:bidi="ar-SA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itle"/>
    <w:basedOn w:val="1"/>
    <w:qFormat/>
    <w:uiPriority w:val="1"/>
    <w:pPr>
      <w:spacing w:before="45"/>
      <w:ind w:left="381" w:right="682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rPr>
      <w:lang w:val="en-US" w:eastAsia="zh-CN" w:bidi="ar-SA"/>
    </w:rPr>
  </w:style>
  <w:style w:type="paragraph" w:customStyle="1" w:styleId="10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3680</Words>
  <Characters>3793</Characters>
  <TotalTime>38</TotalTime>
  <ScaleCrop>false</ScaleCrop>
  <LinksUpToDate>false</LinksUpToDate>
  <CharactersWithSpaces>4053</CharactersWithSpaces>
  <Application>WPS Office WWO_wpscloud_20260415153227-69c179f038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2025-06-22T17:40:00Z</dcterms:created>
  <dc:creator>Administrator</dc:creator>
  <cp:lastModifiedBy>马妍彤</cp:lastModifiedBy>
  <dcterms:modified xsi:type="dcterms:W3CDTF">2026-05-11T11:20:18Z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2052-12.9.0.25994</vt:lpwstr>
  </property>
  <property fmtid="{D5CDD505-2E9C-101B-9397-08002B2CF9AE}" pid="4" name="ICV">
    <vt:lpwstr>7F4D0C8BFF1A54FBF24A016AB991351E_43</vt:lpwstr>
  </property>
  <property fmtid="{D5CDD505-2E9C-101B-9397-08002B2CF9AE}" pid="5" name="FachiWatermark">
    <vt:lpwstr>eyJjb21wYW55IjoiRmEgQ2hpIChHdWFuZ3pob3UpIFRlY2hub2xvZ3kgQ28uLCBMdGQiLCJ0aW1lc3RhbXAiOiIyMDI2LTA2LTA0IDA5OjU3OjQ1IiwidXNlcklkIjoiY21lMjYzNDE5MDRraDNmZzM0djd1cXY1OSIsInZlcnNpb24iOiIxLjAifQ==</vt:lpwstr>
  </property>
</Properties>
</file>