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9D7D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center"/>
        <w:textAlignment w:val="auto"/>
        <w:outlineLvl w:val="0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-3"/>
          <w:sz w:val="44"/>
          <w:szCs w:val="44"/>
          <w:lang w:val="en-US" w:eastAsia="zh-CN"/>
        </w:rPr>
        <w:t>民事起诉状</w:t>
      </w:r>
    </w:p>
    <w:p w14:paraId="3F8D7AB7">
      <w:pPr>
        <w:keepNext w:val="0"/>
        <w:keepLines w:val="0"/>
        <w:widowControl/>
        <w:suppressLineNumbers w:val="0"/>
        <w:jc w:val="center"/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（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  <w:t>机动车交通事故责任纠纷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）</w:t>
      </w:r>
    </w:p>
    <w:tbl>
      <w:tblPr>
        <w:tblStyle w:val="7"/>
        <w:tblW w:w="96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438"/>
        <w:gridCol w:w="7200"/>
      </w:tblGrid>
      <w:tr w14:paraId="74F665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top"/>
          </w:tcPr>
          <w:p w14:paraId="6A99323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  <w:t>说明：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0E11A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75F81D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起诉时需向人民法院提交证明您身份的材料，如身份证复印件、营业执照复印件等。 </w:t>
            </w:r>
          </w:p>
          <w:p w14:paraId="1EAC6E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本表所列内容是您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提起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诉讼以及人民法院查明案件事实所需，请务必如实填写。 </w:t>
            </w:r>
          </w:p>
          <w:p w14:paraId="20CC7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本表有些内容可能与您的案件无关，您认为与案件无关的项目可以填“无”或不填；对于本表中勾选项可以在对应项打“√”；您认为另有重要内容需要列明的，可以另附页填写。</w:t>
            </w:r>
          </w:p>
          <w:p w14:paraId="40A6BE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本表word电子版填写时，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相关栏目可复制粘贴或扩容，但不得改变要素内容、格式设置。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例如，多原告、多被告或多委托诉讼代理人等情况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可根据实际情况复制粘贴；需填写文字较多时，可根据实际对栏目进行扩容等。</w:t>
            </w:r>
          </w:p>
          <w:p w14:paraId="2C3AB2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1603AC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04E14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如果诉讼参加人违反有关规定，虚假诉讼、恶意诉讼、滥用诉权，人民法院将视违法情形依法追究责任。</w:t>
            </w:r>
          </w:p>
        </w:tc>
      </w:tr>
      <w:tr w14:paraId="31CD9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38" w:type="dxa"/>
            <w:gridSpan w:val="2"/>
            <w:vAlign w:val="center"/>
          </w:tcPr>
          <w:p w14:paraId="29E2AA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当事人信息</w:t>
            </w:r>
          </w:p>
        </w:tc>
      </w:tr>
      <w:tr w14:paraId="0832A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49AD0E9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原告</w:t>
            </w:r>
          </w:p>
          <w:p w14:paraId="3F3D9EA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200" w:type="dxa"/>
          </w:tcPr>
          <w:p w14:paraId="45B0D37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1D10684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3BBFBBE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       民族：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0ADF2B6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261F5AD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F630E0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</w:p>
          <w:p w14:paraId="578EAB3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</w:p>
          <w:p w14:paraId="7090E8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</w:tc>
      </w:tr>
      <mc:AlternateContent>
        <mc:Choice Requires="wpsCustomData"/>
      </mc:AlternateContent>
      <w:tr w14:paraId="56CB9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3E62575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原告</w:t>
            </w:r>
          </w:p>
          <w:p w14:paraId="0200680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（法人、非法人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lang w:eastAsia="zh-CN"/>
              </w:rPr>
              <w:t>组织）</w:t>
            </w:r>
          </w:p>
        </w:tc>
        <w:tc>
          <w:tcPr>
            <w:tcW w:w="7200" w:type="dxa"/>
            <w:vAlign w:val="top"/>
          </w:tcPr>
          <w:p w14:paraId="5CCD48D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32E3931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>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5ECCB2C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>注册地 / 登记地：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388C5A8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  <mc:AlternateContent>
              <mc:Choice Requires="wpsCustomData"/>
            </mc:AlternateContent>
          </w:p>
          <w:p w14:paraId="7C6057E3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06640DA4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E41B3A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</w:p>
          <w:p w14:paraId="333419C9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农村集体经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332ECA0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86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BFEF65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不具有法人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</w:p>
          <w:p w14:paraId="6EE24D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49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39D35B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50920B8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委托诉讼代理人</w:t>
            </w:r>
          </w:p>
        </w:tc>
        <w:tc>
          <w:tcPr>
            <w:tcW w:w="7200" w:type="dxa"/>
            <w:vAlign w:val="top"/>
          </w:tcPr>
          <w:p w14:paraId="40D6B7A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641711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957640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76120B7B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  <mc:AlternateContent>
              <mc:Choice Requires="wpsCustomData"/>
            </mc:AlternateContent>
          </w:p>
          <w:p w14:paraId="4720362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2ABF4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1361F1A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被告</w:t>
            </w:r>
          </w:p>
          <w:p w14:paraId="433121B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200" w:type="dxa"/>
            <w:vAlign w:val="top"/>
          </w:tcPr>
          <w:p w14:paraId="347646C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043CDD4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7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5893CB16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502"/>
                <w:tab w:val="left" w:pos="3132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5D1CC8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    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7657B906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  <w:p w14:paraId="33412FA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lang w:val="en-US" w:eastAsia="zh-CN"/>
              </w:rPr>
              <w:t xml:space="preserve"> </w:t>
            </w:r>
          </w:p>
          <w:p w14:paraId="29D431B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  <mc:AlternateContent>
              <mc:Choice Requires="wpsCustomData"/>
            </mc:AlternateContent>
          </w:p>
          <w:p w14:paraId="7BF255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</w:p>
        </w:tc>
      </w:tr>
      <mc:AlternateContent>
        <mc:Choice Requires="wpsCustomData"/>
      </mc:AlternateContent>
      <w:tr w14:paraId="0A0A1D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3943" w:hRule="atLeast"/>
        </w:trPr>
        <w:tc>
          <w:tcPr>
            <w:tcW w:w="2438" w:type="dxa"/>
            <w:vAlign w:val="center"/>
          </w:tcPr>
          <w:p w14:paraId="0AE1386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被告</w:t>
            </w:r>
          </w:p>
          <w:p w14:paraId="7B05138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（法人、非法人组织）</w:t>
            </w:r>
          </w:p>
        </w:tc>
        <w:tc>
          <w:tcPr>
            <w:tcW w:w="7200" w:type="dxa"/>
            <w:vAlign w:val="top"/>
          </w:tcPr>
          <w:p w14:paraId="17FF646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  <w:p w14:paraId="734CBE1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>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  <w:lang w:eastAsia="zh"/>
                <w:woUserID w:val="1"/>
              </w:rPr>
              <w:t xml:space="preserve">  </w:t>
            </w:r>
          </w:p>
          <mc:AlternateContent>
            <mc:Choice Requires="wpsCustomData"/>
          </mc:AlternateContent>
          <w:p w14:paraId="1D0A053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2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>注册地 / 登记地：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lang w:val="en-US" w:eastAsia="zh-CN"/>
              </w:rPr>
              <w:t xml:space="preserve"> </w:t>
            </w:r>
          </w:p>
          <w:p w14:paraId="1C5B0308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  <mc:AlternateContent>
              <mc:Choice Requires="wpsCustomData"/>
            </mc:AlternateContent>
          </w:p>
          <w:p w14:paraId="5B78321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BF917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7D0828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00AC6D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654248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6D06C7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093F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） 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</w:p>
        </w:tc>
      </w:tr>
      <mc:AlternateContent>
        <mc:Choice Requires="wpsCustomData"/>
      </mc:AlternateContent>
      <w:tr w14:paraId="3DF89F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3311" w:hRule="atLeast"/>
        </w:trPr>
        <w:tc>
          <w:tcPr>
            <w:tcW w:w="2438" w:type="dxa"/>
            <w:vAlign w:val="center"/>
          </w:tcPr>
          <w:p w14:paraId="4E6C0FB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第三人</w:t>
            </w:r>
          </w:p>
          <w:p w14:paraId="4443CF9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200" w:type="dxa"/>
            <w:vAlign w:val="top"/>
          </w:tcPr>
          <w:p w14:paraId="215CFC6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  <mc:AlternateContent>
              <mc:Choice Requires="wpsCustomData"/>
            </mc:AlternateContent>
          </w:p>
          <w:p w14:paraId="266BD5D3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7" w:line="36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CEFA544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292"/>
                <w:tab w:val="left" w:pos="2502"/>
                <w:tab w:val="left" w:pos="3132"/>
                <w:tab w:val="left" w:pos="3918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01002FFB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       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  <mc:AlternateContent>
              <mc:Choice Requires="wpsCustomData"/>
            </mc:AlternateContent>
          </w:p>
          <w:p w14:paraId="43A7B251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292"/>
                <w:tab w:val="left" w:pos="2502"/>
                <w:tab w:val="left" w:pos="3132"/>
                <w:tab w:val="left" w:pos="3918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1A6476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011745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  <mc:AlternateContent>
              <mc:Choice Requires="wpsCustomData"/>
            </mc:AlternateContent>
          </w:p>
          <w:p w14:paraId="5292AE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</w:p>
        </w:tc>
      </w:tr>
      <mc:AlternateContent>
        <mc:Choice Requires="wpsCustomData"/>
      </mc:AlternateContent>
      <w:tr w14:paraId="39FA82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6E43A34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5622072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200" w:type="dxa"/>
            <w:vAlign w:val="top"/>
          </w:tcPr>
          <w:p w14:paraId="1C4E7570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</w:t>
            </w:r>
            <mc:AlternateContent>
              <mc:Choice Requires="wpsCustomData"/>
            </mc:AlternateContent>
          </w:p>
          <w:p w14:paraId="10181753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住所地（主要办事机构所在地）：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4C6FD88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5F3BAC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 / 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 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 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</w:t>
            </w:r>
          </w:p>
          <w:p w14:paraId="513A3C0B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788CCF0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B2EA687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</w:p>
          <w:p w14:paraId="74833FF1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农村集体经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8AF110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86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A7C8244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不具有法人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资格的专业服务机构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w:p w14:paraId="4C48DD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49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ab/>
            </w:r>
          </w:p>
        </w:tc>
      </w:tr>
      <mc:AlternateContent>
        <mc:Choice Requires="wpsCustomData"/>
      </mc:AlternateContent>
      <w:tr w14:paraId="5E854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6F69C6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诉讼请求</w:t>
            </w:r>
          </w:p>
          <w:p w14:paraId="147B41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21"/>
                <w:szCs w:val="21"/>
              </w:rPr>
              <w:t>（主张人身损害赔偿，填写第1项至第10项；主张赔偿财产损失，填写第11项；</w:t>
            </w:r>
          </w:p>
          <w:p w14:paraId="2552DF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21"/>
                <w:szCs w:val="21"/>
              </w:rPr>
              <w:t>第12项至第13项为共同项）</w:t>
            </w:r>
          </w:p>
        </w:tc>
      </w:tr>
      <w:tr w14:paraId="5C932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437" w:hRule="atLeast"/>
        </w:trPr>
        <w:tc>
          <w:tcPr>
            <w:tcW w:w="9638" w:type="dxa"/>
            <w:gridSpan w:val="2"/>
            <w:vAlign w:val="top"/>
          </w:tcPr>
          <w:p w14:paraId="5D768B7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（可完整表述诉讼请求；为方便、准确梳理要点，相关内容请在下方要素式表格中填写）</w:t>
            </w:r>
          </w:p>
          <w:p w14:paraId="1C3E98D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2C96E8B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29260E0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w:p w14:paraId="34D3C96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="楷体" w:hAnsi="楷体" w:eastAsia="楷体" w:cs="楷体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A5222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0D202C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1. 医疗费</w:t>
            </w:r>
          </w:p>
        </w:tc>
        <w:tc>
          <w:tcPr>
            <w:tcW w:w="7200" w:type="dxa"/>
            <w:vAlign w:val="top"/>
          </w:tcPr>
          <w:p w14:paraId="054026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</w:t>
            </w:r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期间在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医院住院（门诊）治疗，累计发生医疗费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元</w:t>
            </w:r>
          </w:p>
          <w:p w14:paraId="61251D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医疗费发票、医疗费清单、病历资料：有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0BEB8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7E7E05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护理费</w:t>
            </w:r>
          </w:p>
        </w:tc>
        <w:tc>
          <w:tcPr>
            <w:tcW w:w="7200" w:type="dxa"/>
            <w:vAlign w:val="top"/>
          </w:tcPr>
          <w:p w14:paraId="27E9E5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住院护理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</w:t>
            </w:r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天支付护理费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</w:t>
            </w:r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元（或护理人员发生误工费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</w:t>
            </w:r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元），或遵医嘱短期护理发生护理费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</w:t>
            </w:r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元</w:t>
            </w:r>
          </w:p>
          <w:p w14:paraId="6B42D7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住院证明、医嘱等：有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56594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5F360B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3. 营养费</w:t>
            </w:r>
          </w:p>
        </w:tc>
        <w:tc>
          <w:tcPr>
            <w:tcW w:w="7200" w:type="dxa"/>
            <w:vAlign w:val="top"/>
          </w:tcPr>
          <w:p w14:paraId="4B5E04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  <w:t>营养费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  <w:t>    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  <w:t>元</w:t>
            </w:r>
          </w:p>
          <w:p w14:paraId="7663C0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  <w:t>病历资料：有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  <w:t>无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  <w:t>□</w:t>
            </w:r>
            <mc:AlternateContent>
              <mc:Choice Requires="wpsCustomData"/>
            </mc:AlternateContent>
          </w:p>
        </w:tc>
      </w:tr>
      <w:tr w14:paraId="5EC4CB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45A1C7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住院伙食补助费</w:t>
            </w:r>
          </w:p>
        </w:tc>
        <w:tc>
          <w:tcPr>
            <w:tcW w:w="7200" w:type="dxa"/>
            <w:vAlign w:val="top"/>
          </w:tcPr>
          <w:p w14:paraId="3BD978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住院伙食补助费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</w:t>
            </w:r>
          </w:p>
          <w:p w14:paraId="678761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病历资料：有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363C9D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1B8F5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5. 误工费</w:t>
            </w:r>
          </w:p>
        </w:tc>
        <w:tc>
          <w:tcPr>
            <w:tcW w:w="7200" w:type="dxa"/>
            <w:vAlign w:val="top"/>
          </w:tcPr>
          <w:p w14:paraId="62FE82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至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误工费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</w:t>
            </w:r>
          </w:p>
        </w:tc>
      </w:tr>
      <w:tr w14:paraId="6BB69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6E3EFB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6. 交通费</w:t>
            </w:r>
          </w:p>
        </w:tc>
        <w:tc>
          <w:tcPr>
            <w:tcW w:w="7200" w:type="dxa"/>
            <w:vAlign w:val="top"/>
          </w:tcPr>
          <w:p w14:paraId="64D066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交通费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</w:t>
            </w:r>
          </w:p>
          <w:p w14:paraId="6AFE2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交通费凭证：有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753047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5CF095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7. 残疾赔偿金（含被扶养人生活费）</w:t>
            </w:r>
          </w:p>
        </w:tc>
        <w:tc>
          <w:tcPr>
            <w:tcW w:w="7200" w:type="dxa"/>
            <w:vAlign w:val="top"/>
          </w:tcPr>
          <w:p w14:paraId="298A85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残疾赔偿金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元；被扶养人生活费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</w:t>
            </w:r>
          </w:p>
        </w:tc>
      </w:tr>
      <w:tr w14:paraId="6433E3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0CB562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8. 残疾辅助器具费</w:t>
            </w:r>
          </w:p>
        </w:tc>
        <w:tc>
          <w:tcPr>
            <w:tcW w:w="7200" w:type="dxa"/>
            <w:vAlign w:val="top"/>
          </w:tcPr>
          <w:p w14:paraId="14FAF5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残疾辅助器具费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</w:t>
            </w:r>
          </w:p>
        </w:tc>
      </w:tr>
      <w:tr w14:paraId="03B09D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4067DC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9. 死亡赔偿金、丧葬费</w:t>
            </w:r>
          </w:p>
        </w:tc>
        <w:tc>
          <w:tcPr>
            <w:tcW w:w="7200" w:type="dxa"/>
            <w:vAlign w:val="top"/>
          </w:tcPr>
          <w:p w14:paraId="38BBD8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死亡赔偿金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元，丧葬费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</w:t>
            </w:r>
          </w:p>
        </w:tc>
      </w:tr>
      <w:tr w14:paraId="1E654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5399E6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10. 精神损害抚慰金</w:t>
            </w:r>
          </w:p>
        </w:tc>
        <w:tc>
          <w:tcPr>
            <w:tcW w:w="7200" w:type="dxa"/>
            <w:vAlign w:val="top"/>
          </w:tcPr>
          <w:p w14:paraId="1F7BC0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精神损害抚慰金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</w:t>
            </w:r>
          </w:p>
        </w:tc>
      </w:tr>
      <w:tr w14:paraId="2B74E1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3DC82B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11.财产损失</w:t>
            </w:r>
          </w:p>
        </w:tc>
        <w:tc>
          <w:tcPr>
            <w:tcW w:w="7200" w:type="dxa"/>
            <w:vAlign w:val="top"/>
          </w:tcPr>
          <w:p w14:paraId="78EE0C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车辆损失：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960D7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停运损失：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863F3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其他损失：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1C876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0B8AB7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12.其他费用</w:t>
            </w:r>
          </w:p>
        </w:tc>
        <w:tc>
          <w:tcPr>
            <w:tcW w:w="7200" w:type="dxa"/>
            <w:vAlign w:val="top"/>
          </w:tcPr>
          <w:p w14:paraId="1CEB4D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（诉讼费、鉴定费等）</w:t>
            </w:r>
            <mc:AlternateContent>
              <mc:Choice Requires="wpsCustomData"/>
            </mc:AlternateContent>
          </w:p>
        </w:tc>
      </w:tr>
      <w:tr w14:paraId="1D82D3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30EE64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.标的总额</w:t>
            </w:r>
          </w:p>
        </w:tc>
        <w:tc>
          <w:tcPr>
            <w:tcW w:w="7200" w:type="dxa"/>
            <w:vAlign w:val="top"/>
          </w:tcPr>
          <w:p w14:paraId="592B26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17FDE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2389C9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  <w:lang w:val="en-US" w:eastAsia="zh-CN"/>
              </w:rPr>
              <w:t>诉前保全及鉴定申请</w:t>
            </w:r>
          </w:p>
        </w:tc>
      </w:tr>
      <w:tr w14:paraId="505D8B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5A508B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是否已经诉前保全</w:t>
            </w:r>
          </w:p>
        </w:tc>
        <w:tc>
          <w:tcPr>
            <w:tcW w:w="7200" w:type="dxa"/>
            <w:vAlign w:val="top"/>
          </w:tcPr>
          <w:p w14:paraId="76684E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保全法院：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保全时间：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mc:AlternateContent>
            <mc:Choice Requires="wpsCustomData"/>
          </mc:AlternateContent>
          <w:p w14:paraId="4D311B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ind w:firstLine="840" w:firstLineChars="4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保全案号：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7717C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FA2DA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（如申请诉讼保全，请另行提交诉讼保全申请及相关材料）</w:t>
            </w:r>
          </w:p>
        </w:tc>
      </w:tr>
      <w:tr w14:paraId="1D1DFE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36F058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是否申请鉴定</w:t>
            </w:r>
          </w:p>
        </w:tc>
        <w:tc>
          <w:tcPr>
            <w:tcW w:w="7200" w:type="dxa"/>
            <w:vAlign w:val="top"/>
          </w:tcPr>
          <w:p w14:paraId="0E2EF8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鉴定事项：</w:t>
            </w:r>
            <mc:AlternateContent>
              <mc:Choice Requires="wpsCustomData"/>
            </mc:AlternateContent>
            <mc:AlternateContent>
              <mc:Choice Requires="wpsCustomData"/>
            </mc:AlternateContent>
          </w:p>
          <w:p w14:paraId="4B89D5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2F14D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4C6D03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  <w:lang w:val="en-US" w:eastAsia="zh-CN"/>
              </w:rPr>
              <w:t>事实与理由</w:t>
            </w:r>
          </w:p>
        </w:tc>
      </w:tr>
      <w:tr w14:paraId="6B1B59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398" w:hRule="atLeast"/>
        </w:trPr>
        <w:tc>
          <w:tcPr>
            <w:tcW w:w="9638" w:type="dxa"/>
            <w:gridSpan w:val="2"/>
            <w:vAlign w:val="top"/>
          </w:tcPr>
          <w:p w14:paraId="0617BCD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bookmarkStart w:id="0" w:name="_GoBack"/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  <w:t>（可完整表述纠纷涉及的事实与理由；为方便、准确梳理要点，相关内容请在下方要素式表格中填写）</w:t>
            </w:r>
          </w:p>
          <w:p w14:paraId="06005A3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</w:p>
          <w:bookmarkEnd w:id="0"/>
          <w:p w14:paraId="02C1866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100F8A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7C98C34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交通事故发生情况</w:t>
            </w:r>
          </w:p>
        </w:tc>
        <w:tc>
          <w:tcPr>
            <w:tcW w:w="7200" w:type="dxa"/>
            <w:vAlign w:val="top"/>
          </w:tcPr>
          <w:p w14:paraId="50A4D9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258FDD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504128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交通事故责任认定</w:t>
            </w:r>
          </w:p>
        </w:tc>
        <w:tc>
          <w:tcPr>
            <w:tcW w:w="7200" w:type="dxa"/>
            <w:vAlign w:val="top"/>
          </w:tcPr>
          <w:p w14:paraId="1BDB64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4F9625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4C6F0A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机动车投保情况</w:t>
            </w:r>
          </w:p>
        </w:tc>
        <w:tc>
          <w:tcPr>
            <w:tcW w:w="7200" w:type="dxa"/>
            <w:vAlign w:val="top"/>
          </w:tcPr>
          <w:p w14:paraId="72566F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37A36A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357" w:hRule="atLeast"/>
        </w:trPr>
        <w:tc>
          <w:tcPr>
            <w:tcW w:w="2438" w:type="dxa"/>
            <w:vAlign w:val="center"/>
          </w:tcPr>
          <w:p w14:paraId="1E6ADA23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请求依据</w:t>
            </w:r>
          </w:p>
        </w:tc>
        <w:tc>
          <w:tcPr>
            <w:tcW w:w="7200" w:type="dxa"/>
            <w:vAlign w:val="top"/>
          </w:tcPr>
          <w:p w14:paraId="1845F4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</w:tc>
      </w:tr>
      <w:tr w14:paraId="04DC94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383" w:hRule="atLeast"/>
        </w:trPr>
        <w:tc>
          <w:tcPr>
            <w:tcW w:w="2438" w:type="dxa"/>
            <w:vAlign w:val="center"/>
          </w:tcPr>
          <w:p w14:paraId="28CF16B1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ind w:left="0" w:lef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证据清单（可另附页）</w:t>
            </w:r>
          </w:p>
        </w:tc>
        <w:tc>
          <w:tcPr>
            <w:tcW w:w="7200" w:type="dxa"/>
            <w:vAlign w:val="top"/>
          </w:tcPr>
          <w:p w14:paraId="752236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</w:t>
            </w:r>
            <mc:AlternateContent>
              <mc:Choice Requires="wpsCustomData"/>
            </mc:AlternateContent>
          </w:p>
        </w:tc>
      </w:tr>
      <w:tr w14:paraId="40617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10EFD4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  <w:lang w:val="en-US" w:eastAsia="zh-CN"/>
              </w:rPr>
              <w:t>对纠纷解决方式的意愿</w:t>
            </w:r>
          </w:p>
        </w:tc>
      </w:tr>
      <w:tr w14:paraId="17341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658" w:hRule="atLeast"/>
        </w:trPr>
        <w:tc>
          <w:tcPr>
            <w:tcW w:w="2438" w:type="dxa"/>
            <w:vAlign w:val="center"/>
          </w:tcPr>
          <w:p w14:paraId="189E68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是否了解调解作为非诉讼纠纷解决方式，能及时、高效、低成本、不伤和气地解决纠纷</w:t>
            </w:r>
          </w:p>
        </w:tc>
        <w:tc>
          <w:tcPr>
            <w:tcW w:w="7200" w:type="dxa"/>
            <w:vAlign w:val="center"/>
          </w:tcPr>
          <w:p w14:paraId="736E43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70EA90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645" w:hRule="atLeast"/>
        </w:trPr>
        <w:tc>
          <w:tcPr>
            <w:tcW w:w="2438" w:type="dxa"/>
            <w:vAlign w:val="center"/>
          </w:tcPr>
          <w:p w14:paraId="77AE14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是否了解先行调解解决纠纷的好处</w:t>
            </w:r>
          </w:p>
        </w:tc>
        <w:tc>
          <w:tcPr>
            <w:tcW w:w="7200" w:type="dxa"/>
            <w:vAlign w:val="center"/>
          </w:tcPr>
          <w:p w14:paraId="796F52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立案后选择先行调解的，可以很快启动调解程序。如不同意调解，法院 </w:t>
            </w:r>
          </w:p>
          <w:p w14:paraId="549111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将依程序开庭审理案件，但可能需要经过较长一段时间的排期等待，且审 </w:t>
            </w:r>
          </w:p>
          <w:p w14:paraId="35178F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理、执行周期相对较长。 </w:t>
            </w:r>
          </w:p>
          <w:p w14:paraId="63EF68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DEFBE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选择先行调解，调解成功且自动履行的免交诉讼费用，申请司法确认的 </w:t>
            </w:r>
          </w:p>
          <w:p w14:paraId="4D084C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不交纳诉讼费用，要求出具调解书的减半交纳诉讼费用。 </w:t>
            </w:r>
          </w:p>
          <w:p w14:paraId="4F6A76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462674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3. 首次调解不成功，但仍有继续调解意愿的，可以选择更换调解组织和调 </w:t>
            </w:r>
          </w:p>
          <w:p w14:paraId="7DC7E8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解员再进行调解。调解无法达成一致意见的，法院将依程序排期开庭。 </w:t>
            </w:r>
          </w:p>
          <w:p w14:paraId="2F5747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</w:tc>
      </w:tr>
      <w:tr w14:paraId="6E7BE3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5DA309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是否了解先行调解解决纠纷的好处</w:t>
            </w:r>
          </w:p>
        </w:tc>
        <w:tc>
          <w:tcPr>
            <w:tcW w:w="7200" w:type="dxa"/>
            <w:vAlign w:val="top"/>
          </w:tcPr>
          <w:p w14:paraId="3D30CA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4. 依照法律规定，调解具有保密性要求，调解过程不公开，调解协议未经 </w:t>
            </w:r>
          </w:p>
          <w:p w14:paraId="393687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当事人同意不得公开。 </w:t>
            </w:r>
          </w:p>
          <w:p w14:paraId="7CDDC8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856B3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5. 调解达成的协议具有法律效力，可以依照法律规定申请司法确认，具有 </w:t>
            </w:r>
          </w:p>
          <w:p w14:paraId="7C87A9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强制执行效力。 </w:t>
            </w:r>
          </w:p>
          <w:p w14:paraId="53CA2E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1E717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38" w:type="dxa"/>
            <w:vAlign w:val="center"/>
          </w:tcPr>
          <w:p w14:paraId="0A7001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是否考虑先行调解 </w:t>
            </w:r>
          </w:p>
        </w:tc>
        <w:tc>
          <w:tcPr>
            <w:tcW w:w="7200" w:type="dxa"/>
            <w:vAlign w:val="top"/>
          </w:tcPr>
          <w:p w14:paraId="18791D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6E943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BDE3A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暂不确定，想要了解更多内容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</w:tbl>
    <w:p w14:paraId="1F6828DF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155" w:line="240" w:lineRule="auto"/>
        <w:jc w:val="right"/>
        <w:textAlignment w:val="auto"/>
        <w:rPr>
          <w:rFonts w:hint="eastAsia" w:asciiTheme="majorEastAsia" w:hAnsiTheme="majorEastAsia" w:eastAsiaTheme="majorEastAsia" w:cstheme="majorEastAsia"/>
          <w:b/>
          <w:bCs/>
          <w:lang w:val="en-US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具状人（签字、盖章）：      </w:t>
      </w:r>
    </w:p>
    <w:p w14:paraId="5EE22038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right"/>
        <w:textAlignment w:val="auto"/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日期：    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        </w:t>
      </w:r>
      <w:r>
        <w:rPr>
          <w:rFonts w:hint="eastAsia" w:asciiTheme="minorEastAsia" w:hAnsi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</w:t>
      </w:r>
      <w:r>
        <w:rPr>
          <w:rFonts w:hint="eastAsia" w:asciiTheme="minorEastAsia" w:hAnsi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</w:p>
    <w:p w14:paraId="683F4493">
      <w:pPr>
        <w:rPr>
          <w:rFonts w:hint="eastAsia" w:ascii="宋体" w:hAnsi="宋体" w:eastAsia="宋体" w:cs="宋体"/>
          <w:color w:val="231F20"/>
          <w:spacing w:val="-1"/>
          <w:sz w:val="30"/>
          <w:lang w:val="en-US" w:eastAsia="zh-CN"/>
        </w:rPr>
      </w:pPr>
    </w:p>
    <w:sectPr>
      <w:pgSz w:w="11906" w:h="16838"/>
      <w:pgMar w:top="1247" w:right="1134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书宋_GBK">
    <w:altName w:val="汉仪书宋二KW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7695141"/>
    <w:multiLevelType w:val="singleLevel"/>
    <w:tmpl w:val="F7695141"/>
    <w:lvl w:ilvl="0" w:tentative="0">
      <w:start w:val="4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BF12EB"/>
    <w:rsid w:val="0E7BF232"/>
    <w:rsid w:val="2AD96BD0"/>
    <w:rsid w:val="2DAF9982"/>
    <w:rsid w:val="3557562A"/>
    <w:rsid w:val="3B7E23B8"/>
    <w:rsid w:val="3DEF93D3"/>
    <w:rsid w:val="3FF3E419"/>
    <w:rsid w:val="5BAF0938"/>
    <w:rsid w:val="5DF33216"/>
    <w:rsid w:val="5E5E33A7"/>
    <w:rsid w:val="5EFF0770"/>
    <w:rsid w:val="5F25B756"/>
    <w:rsid w:val="66ECCC27"/>
    <w:rsid w:val="688D69B6"/>
    <w:rsid w:val="69BF12EB"/>
    <w:rsid w:val="6BF7EEBB"/>
    <w:rsid w:val="6DFEC5AA"/>
    <w:rsid w:val="6ED29A9A"/>
    <w:rsid w:val="73AFABD1"/>
    <w:rsid w:val="755B4D65"/>
    <w:rsid w:val="7BF79032"/>
    <w:rsid w:val="7D7AFE09"/>
    <w:rsid w:val="7DFEA7FA"/>
    <w:rsid w:val="7E3745CB"/>
    <w:rsid w:val="7EFF2E21"/>
    <w:rsid w:val="7F7743A2"/>
    <w:rsid w:val="7FAD41D6"/>
    <w:rsid w:val="7FBFB9FA"/>
    <w:rsid w:val="7FD55F34"/>
    <w:rsid w:val="9722D6AF"/>
    <w:rsid w:val="A3D7F124"/>
    <w:rsid w:val="AD3BB060"/>
    <w:rsid w:val="B9DF6694"/>
    <w:rsid w:val="BF6E2B06"/>
    <w:rsid w:val="D5DFABDF"/>
    <w:rsid w:val="D7E7558D"/>
    <w:rsid w:val="D7F72244"/>
    <w:rsid w:val="E65F6B9E"/>
    <w:rsid w:val="EBBBE8D7"/>
    <w:rsid w:val="EBF39DB4"/>
    <w:rsid w:val="EF5E20DA"/>
    <w:rsid w:val="F0153712"/>
    <w:rsid w:val="F3BEB23D"/>
    <w:rsid w:val="FB7DBEB7"/>
    <w:rsid w:val="FBBBE8C0"/>
    <w:rsid w:val="FBEE736B"/>
    <w:rsid w:val="FCBB2BD2"/>
    <w:rsid w:val="FDB7C07B"/>
    <w:rsid w:val="FDDE4957"/>
    <w:rsid w:val="FF539AA4"/>
    <w:rsid w:val="FF722D9C"/>
    <w:rsid w:val="FFDF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qFormat/>
    <w:uiPriority w:val="1"/>
    <w:pPr>
      <w:ind w:left="97" w:right="378"/>
      <w:jc w:val="center"/>
      <w:outlineLvl w:val="1"/>
    </w:pPr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PMingLiU" w:hAnsi="PMingLiU" w:eastAsia="PMingLiU" w:cs="PMingLiU"/>
      <w:sz w:val="21"/>
      <w:szCs w:val="21"/>
      <w:lang w:val="en-US" w:eastAsia="zh-CN" w:bidi="ar-SA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Table Text"/>
    <w:basedOn w:val="1"/>
    <w:semiHidden/>
    <w:qFormat/>
    <w:uiPriority w:val="0"/>
    <w:rPr>
      <w:rFonts w:ascii="方正书宋_GBK" w:hAnsi="方正书宋_GBK" w:eastAsia="方正书宋_GBK" w:cs="方正书宋_GBK"/>
      <w:sz w:val="21"/>
      <w:szCs w:val="21"/>
      <w:lang w:val="en-US" w:eastAsia="en-US" w:bidi="ar-SA"/>
    </w:rPr>
  </w:style>
  <w:style w:type="table" w:customStyle="1" w:styleId="10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  <w:style w:type="paragraph" w:styleId="12">
    <w:name w:val="List Paragraph"/>
    <w:basedOn w:val="1"/>
    <w:qFormat/>
    <w:uiPriority w:val="1"/>
    <w:pPr>
      <w:spacing w:before="72"/>
      <w:ind w:left="1025" w:hanging="209"/>
    </w:pPr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0</Words>
  <Characters>0</Characters>
  <Lines>0</Lines>
  <Paragraphs>0</Paragraphs>
  <TotalTime>39</TotalTime>
  <ScaleCrop>false</ScaleCrop>
  <LinksUpToDate>false</LinksUpToDate>
  <CharactersWithSpaces>0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2025-06-23T01:12:00Z</dcterms:created>
  <dc:creator>xyy</dc:creator>
  <cp:lastModifiedBy>xyy</cp:lastModifiedBy>
  <dcterms:modified xsi:type="dcterms:W3CDTF">2025-08-26T20:57:09Z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2052-12.9.0.18253</vt:lpwstr>
  </property>
  <property fmtid="{D5CDD505-2E9C-101B-9397-08002B2CF9AE}" pid="3" name="ICV">
    <vt:lpwstr>2F9988ED155641C125AFAD68E1B7CFA9_43</vt:lpwstr>
  </property>
  <property fmtid="{D5CDD505-2E9C-101B-9397-08002B2CF9AE}" pid="4" name="FachiWatermark">
    <vt:lpwstr>eyJjb21wYW55IjoiRmEgQ2hpIChHdWFuZ3pob3UpIFRlY2hub2xvZ3kgQ28uLCBMdGQiLCJ0aW1lc3RhbXAiOiIyMDI2LTA2LTA0IDA5OjU2OjMwIiwidXNlcklkIjoiY21lMjYzNDE5MDRraDNmZzM0djd1cXY1OSIsInZlcnNpb24iOiIxLjAifQ==</vt:lpwstr>
  </property>
</Properties>
</file>